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Diversity, Equity, and Inclusion Principles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PK-HR-009</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diversity, equity, and inclusion principles. It should be applied consistently across Pakistan operations unless a written exception is approved through the Policy Exception, Approval, and Governance Framework. Related references include PK-HR-001, PK-HR-008, PK-HR-029, PK-HR-045.</w:t>
      </w:r>
    </w:p>
    <w:p>
      <w:pPr>
        <w:spacing w:before="120" w:after="40"/>
      </w:pPr>
      <w:r>
        <w:rPr>
          <w:b/>
          <w:color w:val="2C2C2C"/>
          <w:sz w:val="24"/>
        </w:rPr>
        <w:t>Principles</w:t>
      </w:r>
    </w:p>
    <w:p>
      <w:pPr>
        <w:spacing w:after="80" w:line="264" w:lineRule="auto"/>
      </w:pPr>
      <w:r>
        <w:t>Diversity, equity, and inclusion are treated as operating principles rather than stand-alone programs. The goal is to build teams where talented people can contribute without unnecessary barriers and where managers make decisions transparently and consistently.</w:t>
      </w:r>
    </w:p>
    <w:p>
      <w:pPr>
        <w:spacing w:after="80" w:line="264" w:lineRule="auto"/>
      </w:pPr>
      <w:r>
        <w:t>In practical terms, this means expanding candidate pools, using structured interviews, ensuring meetings and training are accessible, and monitoring whether policies work fairly across job levels and locations.</w:t>
      </w:r>
    </w:p>
    <w:p>
      <w:pPr>
        <w:pStyle w:val="ListBullet"/>
        <w:spacing w:after="20"/>
      </w:pPr>
      <w:r>
        <w:t>Use inclusive language and avoid making assumptions about family structure, caregiving roles, socioeconomic background, or religious practice.</w:t>
      </w:r>
    </w:p>
    <w:p>
      <w:pPr>
        <w:pStyle w:val="ListBullet"/>
        <w:spacing w:after="20"/>
      </w:pPr>
      <w:r>
        <w:t>Schedule recurring team activities with awareness of prayer times, local commuting constraints, and major religious observances where possible.</w:t>
      </w:r>
    </w:p>
    <w:p>
      <w:pPr>
        <w:pStyle w:val="ListBullet"/>
        <w:spacing w:after="20"/>
      </w:pPr>
      <w:r>
        <w:t>Managers should actively encourage participation from quieter team members and should not allow one style of communication to dominate all decisions.</w:t>
      </w:r>
    </w:p>
    <w:p>
      <w:pPr>
        <w:pStyle w:val="ListBullet"/>
        <w:spacing w:after="20"/>
      </w:pPr>
      <w:r>
        <w:t>Development, recognition, and promotion conversations should be documented well enough to explain why opportunities were assigned.</w:t>
      </w:r>
    </w:p>
    <w:p>
      <w:pPr>
        <w:spacing w:before="120" w:after="40"/>
      </w:pPr>
      <w:r>
        <w:rPr>
          <w:b/>
          <w:color w:val="2C2C2C"/>
          <w:sz w:val="24"/>
        </w:rPr>
        <w:t>Examples and practical guidance</w:t>
      </w:r>
    </w:p>
    <w:p>
      <w:pPr>
        <w:spacing w:after="80" w:line="264" w:lineRule="auto"/>
      </w:pPr>
      <w:r>
        <w:t>The company may use awareness sessions, mentorship, community activities, or panel calibration to improve fairness; however, no employee will be required to disclose private personal information to participate.</w:t>
      </w:r>
    </w:p>
    <w:p>
      <w:pPr>
        <w:spacing w:after="80" w:line="264" w:lineRule="auto"/>
      </w:pPr>
      <w:r>
        <w:t>Questions about team inclusion practices can be sent to peopleteam@company.com or talentdevelopment@company.com.</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PK-HR-009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