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Arial" w:hAnsi="Arial"/>
          <w:b/>
          <w:color w:val="1C3F72"/>
          <w:sz w:val="36"/>
        </w:rPr>
        <w:t>Benefits Enrollment and Life Event Changes</w:t>
      </w:r>
    </w:p>
    <w:p>
      <w:pPr>
        <w:jc w:val="left"/>
      </w:pPr>
      <w:r>
        <w:rPr>
          <w:i/>
          <w:color w:val="606060"/>
          <w:sz w:val="21"/>
        </w:rPr>
        <w:t>Pakistan Employee Policy</w:t>
      </w:r>
    </w:p>
    <w:tbl>
      <w:tblPr>
        <w:tblStyle w:val="TableGrid"/>
        <w:tblW w:type="auto" w:w="0"/>
        <w:tblLayout w:type="fixed"/>
        <w:tblLook w:firstColumn="1" w:firstRow="1" w:lastColumn="0" w:lastRow="0" w:noHBand="0" w:noVBand="1" w:val="04A0"/>
      </w:tblPr>
      <w:tblGrid>
        <w:gridCol w:w="2484"/>
        <w:gridCol w:w="2484"/>
        <w:gridCol w:w="2484"/>
        <w:gridCol w:w="2484"/>
      </w:tblGrid>
      <w:tr>
        <w:tc>
          <w:tcPr>
            <w:tcW w:type="dxa" w:w="2376"/>
            <w:shd w:fill="D9E6F2"/>
          </w:tcPr>
          <w:p>
            <w:r>
              <w:rPr>
                <w:rFonts w:ascii="Arial" w:hAnsi="Arial"/>
                <w:b/>
                <w:sz w:val="18"/>
              </w:rPr>
              <w:t>Document ID</w:t>
            </w:r>
          </w:p>
        </w:tc>
        <w:tc>
          <w:tcPr>
            <w:tcW w:type="dxa" w:w="2376"/>
            <w:shd w:fill="D9E6F2"/>
          </w:tcPr>
          <w:p>
            <w:r>
              <w:rPr>
                <w:rFonts w:ascii="Arial" w:hAnsi="Arial"/>
                <w:b/>
                <w:sz w:val="18"/>
              </w:rPr>
              <w:t>Country</w:t>
            </w:r>
          </w:p>
        </w:tc>
        <w:tc>
          <w:tcPr>
            <w:tcW w:type="dxa" w:w="2376"/>
            <w:shd w:fill="D9E6F2"/>
          </w:tcPr>
          <w:p>
            <w:r>
              <w:rPr>
                <w:rFonts w:ascii="Arial" w:hAnsi="Arial"/>
                <w:b/>
                <w:sz w:val="18"/>
              </w:rPr>
              <w:t>Owning Team</w:t>
            </w:r>
          </w:p>
        </w:tc>
        <w:tc>
          <w:tcPr>
            <w:tcW w:type="dxa" w:w="2736"/>
            <w:shd w:fill="D9E6F2"/>
          </w:tcPr>
          <w:p>
            <w:r>
              <w:rPr>
                <w:rFonts w:ascii="Arial" w:hAnsi="Arial"/>
                <w:b/>
                <w:sz w:val="18"/>
              </w:rPr>
              <w:t>Primary Contact</w:t>
            </w:r>
          </w:p>
        </w:tc>
      </w:tr>
      <w:tr>
        <w:tc>
          <w:tcPr>
            <w:tcW w:type="dxa" w:w="2376"/>
          </w:tcPr>
          <w:p>
            <w:r>
              <w:rPr>
                <w:rFonts w:ascii="Arial" w:hAnsi="Arial"/>
                <w:sz w:val="18"/>
              </w:rPr>
              <w:t>PK-HR-012</w:t>
            </w:r>
          </w:p>
        </w:tc>
        <w:tc>
          <w:tcPr>
            <w:tcW w:type="dxa" w:w="2376"/>
          </w:tcPr>
          <w:p>
            <w:r>
              <w:rPr>
                <w:rFonts w:ascii="Arial" w:hAnsi="Arial"/>
                <w:sz w:val="18"/>
              </w:rPr>
              <w:t>Pakistan</w:t>
            </w:r>
          </w:p>
        </w:tc>
        <w:tc>
          <w:tcPr>
            <w:tcW w:type="dxa" w:w="2376"/>
          </w:tcPr>
          <w:p>
            <w:r>
              <w:rPr>
                <w:rFonts w:ascii="Arial" w:hAnsi="Arial"/>
                <w:sz w:val="18"/>
              </w:rPr>
              <w:t>Benefits</w:t>
            </w:r>
          </w:p>
        </w:tc>
        <w:tc>
          <w:tcPr>
            <w:tcW w:type="dxa" w:w="2736"/>
          </w:tcPr>
          <w:p>
            <w:r>
              <w:rPr>
                <w:rFonts w:ascii="Arial" w:hAnsi="Arial"/>
                <w:sz w:val="18"/>
              </w:rPr>
              <w:t>benefits@company.com</w:t>
            </w:r>
          </w:p>
        </w:tc>
      </w:tr>
    </w:tbl>
    <w:p/>
    <w:p>
      <w:pPr>
        <w:spacing w:before="120" w:after="40"/>
      </w:pPr>
      <w:r>
        <w:rPr>
          <w:b/>
          <w:color w:val="2C2C2C"/>
          <w:sz w:val="24"/>
        </w:rPr>
        <w:t>Policy summary</w:t>
      </w:r>
    </w:p>
    <w:p>
      <w:pPr>
        <w:spacing w:after="80" w:line="264" w:lineRule="auto"/>
      </w:pPr>
      <w:r>
        <w:t>This document sets the Pakistan standard for benefits enrollment and life event changes. It should be applied consistently across Pakistan operations unless a written exception is approved through the Policy Exception, Approval, and Governance Framework. Related references include PK-HR-011, PK-HR-013, PK-HR-018, PK-HR-047.</w:t>
      </w:r>
    </w:p>
    <w:p>
      <w:pPr>
        <w:spacing w:before="120" w:after="40"/>
      </w:pPr>
      <w:r>
        <w:rPr>
          <w:b/>
          <w:color w:val="2C2C2C"/>
          <w:sz w:val="24"/>
        </w:rPr>
        <w:t>Enrollment windows</w:t>
      </w:r>
    </w:p>
    <w:p>
      <w:pPr>
        <w:spacing w:after="80" w:line="264" w:lineRule="auto"/>
      </w:pPr>
      <w:r>
        <w:t>Benefit elections and dependent changes must be completed through the process announced by the Benefits team. This helps ensure that the insurer, payroll, and employee records remain aligned and that premiums or deductions start at the correct time.</w:t>
      </w:r>
    </w:p>
    <w:p>
      <w:pPr>
        <w:spacing w:after="80" w:line="264" w:lineRule="auto"/>
      </w:pPr>
      <w:r>
        <w:t>Enrollment is typically permitted at joining, during open enrollment, or after a qualifying life event. Outside these windows, changes are generally not allowed unless the plan or law requires otherwise.</w:t>
      </w:r>
    </w:p>
    <w:p>
      <w:pPr>
        <w:pStyle w:val="ListBullet"/>
        <w:spacing w:after="20"/>
      </w:pPr>
      <w:r>
        <w:t>Employees joining the company should complete enrollment and submit required documents by the deadline communicated during onboarding.</w:t>
      </w:r>
    </w:p>
    <w:p>
      <w:pPr>
        <w:pStyle w:val="ListBullet"/>
        <w:spacing w:after="20"/>
      </w:pPr>
      <w:r>
        <w:t>Qualifying life events such as marriage, childbirth, adoption, or loss of other coverage must normally be reported within 30 calendar days of the qualifying event.</w:t>
      </w:r>
    </w:p>
    <w:p>
      <w:pPr>
        <w:pStyle w:val="ListBullet"/>
        <w:spacing w:after="20"/>
      </w:pPr>
      <w:r>
        <w:t>If supporting documents are incomplete, the company may provisionally record the request but coverage or payroll deduction changes may not take effect until validation is complete.</w:t>
      </w:r>
    </w:p>
    <w:p>
      <w:pPr>
        <w:pStyle w:val="ListBullet"/>
        <w:spacing w:after="20"/>
      </w:pPr>
      <w:r>
        <w:t>Employees are responsible for checking confirmation messages and contacting benefits@company.com if a submission appears incomplete or missing.</w:t>
      </w:r>
    </w:p>
    <w:p>
      <w:pPr>
        <w:spacing w:before="120" w:after="40"/>
      </w:pPr>
      <w:r>
        <w:rPr>
          <w:b/>
          <w:color w:val="2C2C2C"/>
          <w:sz w:val="24"/>
        </w:rPr>
        <w:t>Examples and practical guidance</w:t>
      </w:r>
    </w:p>
    <w:p>
      <w:pPr>
        <w:spacing w:after="80" w:line="264" w:lineRule="auto"/>
      </w:pPr>
      <w:r>
        <w:t>Example: If an employee marries in March and adds a spouse in August without an approved exception, the insurer may decline retroactive coverage and the request may need to wait for the next open enrollment.</w:t>
      </w:r>
    </w:p>
    <w:p>
      <w:pPr>
        <w:spacing w:after="80" w:line="264" w:lineRule="auto"/>
      </w:pPr>
      <w:r>
        <w:t>Example: A newborn must be reported promptly so medical coverage can be activated in line with plan rules and document requirements.</w:t>
      </w:r>
    </w:p>
    <w:p>
      <w:pPr>
        <w:spacing w:before="120" w:after="40"/>
      </w:pPr>
      <w:r>
        <w:rPr>
          <w:b/>
          <w:color w:val="2C2C2C"/>
          <w:sz w:val="24"/>
        </w:rPr>
        <w:t>Questions and ownership</w:t>
      </w:r>
    </w:p>
    <w:p>
      <w:pPr>
        <w:spacing w:after="80" w:line="264" w:lineRule="auto"/>
      </w:pPr>
      <w:r>
        <w:t>Employees and managers should route questions about this policy to benefits@company.com. Where an issue also involves payroll, benefits, recruitment, onboarding, compliance, talent development, or IT access, the receiving team may coordinate with the relevant function before confirming the final response.</w:t>
      </w:r>
    </w:p>
    <w:p>
      <w:pPr>
        <w:spacing w:after="80" w:line="264" w:lineRule="auto"/>
      </w:pPr>
      <w:r>
        <w:t>This policy may be updated from time to time to reflect business requirements, vendor changes, process improvements, or applicable legal considerations. Employees are expected to follow the latest approved version circulated by the company.</w:t>
      </w:r>
    </w:p>
    <w:sectPr w:rsidR="00FC693F" w:rsidRPr="0006063C" w:rsidSect="00034616">
      <w:footerReference w:type="default" r:id="rId9"/>
      <w:pgSz w:w="12240" w:h="15840"/>
      <w:pgMar w:top="1008" w:right="1152" w:bottom="864"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t>PK-HR-012 | Pakistan</w:t>
    </w:r>
  </w:p>
  <w:p>
    <w:pPr>
      <w:jc w:val="right"/>
    </w:pPr>
    <w:r>
      <w:t xml:space="preserve">Page </w:t>
    </w:r>
    <w:fldSimple w:instr="PAGE">
      <w: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