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color w:val="1C3F72"/>
          <w:sz w:val="36"/>
        </w:rPr>
        <w:t>Medical, Dental, and Vision Benefits Guide</w:t>
      </w:r>
    </w:p>
    <w:p>
      <w:pPr>
        <w:jc w:val="left"/>
      </w:pPr>
      <w:r>
        <w:rPr>
          <w:i/>
          <w:color w:val="606060"/>
          <w:sz w:val="21"/>
        </w:rPr>
        <w:t>Pakistan Employee Policy</w:t>
      </w:r>
    </w:p>
    <w:tbl>
      <w:tblPr>
        <w:tblStyle w:val="TableGrid"/>
        <w:tblW w:type="auto" w:w="0"/>
        <w:tblLayout w:type="fixed"/>
        <w:tblLook w:firstColumn="1" w:firstRow="1" w:lastColumn="0" w:lastRow="0" w:noHBand="0" w:noVBand="1" w:val="04A0"/>
      </w:tblPr>
      <w:tblGrid>
        <w:gridCol w:w="2484"/>
        <w:gridCol w:w="2484"/>
        <w:gridCol w:w="2484"/>
        <w:gridCol w:w="2484"/>
      </w:tblGrid>
      <w:tr>
        <w:tc>
          <w:tcPr>
            <w:tcW w:type="dxa" w:w="2376"/>
            <w:shd w:fill="D9E6F2"/>
          </w:tcPr>
          <w:p>
            <w:r>
              <w:rPr>
                <w:rFonts w:ascii="Arial" w:hAnsi="Arial"/>
                <w:b/>
                <w:sz w:val="18"/>
              </w:rPr>
              <w:t>Document ID</w:t>
            </w:r>
          </w:p>
        </w:tc>
        <w:tc>
          <w:tcPr>
            <w:tcW w:type="dxa" w:w="2376"/>
            <w:shd w:fill="D9E6F2"/>
          </w:tcPr>
          <w:p>
            <w:r>
              <w:rPr>
                <w:rFonts w:ascii="Arial" w:hAnsi="Arial"/>
                <w:b/>
                <w:sz w:val="18"/>
              </w:rPr>
              <w:t>Country</w:t>
            </w:r>
          </w:p>
        </w:tc>
        <w:tc>
          <w:tcPr>
            <w:tcW w:type="dxa" w:w="2376"/>
            <w:shd w:fill="D9E6F2"/>
          </w:tcPr>
          <w:p>
            <w:r>
              <w:rPr>
                <w:rFonts w:ascii="Arial" w:hAnsi="Arial"/>
                <w:b/>
                <w:sz w:val="18"/>
              </w:rPr>
              <w:t>Owning Team</w:t>
            </w:r>
          </w:p>
        </w:tc>
        <w:tc>
          <w:tcPr>
            <w:tcW w:type="dxa" w:w="2736"/>
            <w:shd w:fill="D9E6F2"/>
          </w:tcPr>
          <w:p>
            <w:r>
              <w:rPr>
                <w:rFonts w:ascii="Arial" w:hAnsi="Arial"/>
                <w:b/>
                <w:sz w:val="18"/>
              </w:rPr>
              <w:t>Primary Contact</w:t>
            </w:r>
          </w:p>
        </w:tc>
      </w:tr>
      <w:tr>
        <w:tc>
          <w:tcPr>
            <w:tcW w:type="dxa" w:w="2376"/>
          </w:tcPr>
          <w:p>
            <w:r>
              <w:rPr>
                <w:rFonts w:ascii="Arial" w:hAnsi="Arial"/>
                <w:sz w:val="18"/>
              </w:rPr>
              <w:t>PK-HR-013</w:t>
            </w:r>
          </w:p>
        </w:tc>
        <w:tc>
          <w:tcPr>
            <w:tcW w:type="dxa" w:w="2376"/>
          </w:tcPr>
          <w:p>
            <w:r>
              <w:rPr>
                <w:rFonts w:ascii="Arial" w:hAnsi="Arial"/>
                <w:sz w:val="18"/>
              </w:rPr>
              <w:t>Pakistan</w:t>
            </w:r>
          </w:p>
        </w:tc>
        <w:tc>
          <w:tcPr>
            <w:tcW w:type="dxa" w:w="2376"/>
          </w:tcPr>
          <w:p>
            <w:r>
              <w:rPr>
                <w:rFonts w:ascii="Arial" w:hAnsi="Arial"/>
                <w:sz w:val="18"/>
              </w:rPr>
              <w:t>Benefits</w:t>
            </w:r>
          </w:p>
        </w:tc>
        <w:tc>
          <w:tcPr>
            <w:tcW w:type="dxa" w:w="2736"/>
          </w:tcPr>
          <w:p>
            <w:r>
              <w:rPr>
                <w:rFonts w:ascii="Arial" w:hAnsi="Arial"/>
                <w:sz w:val="18"/>
              </w:rPr>
              <w:t>benefits@company.com</w:t>
            </w:r>
          </w:p>
        </w:tc>
      </w:tr>
    </w:tbl>
    <w:p/>
    <w:p>
      <w:pPr>
        <w:spacing w:before="120" w:after="40"/>
      </w:pPr>
      <w:r>
        <w:rPr>
          <w:b/>
          <w:color w:val="2C2C2C"/>
          <w:sz w:val="24"/>
        </w:rPr>
        <w:t>Policy summary</w:t>
      </w:r>
    </w:p>
    <w:p>
      <w:pPr>
        <w:spacing w:after="80" w:line="264" w:lineRule="auto"/>
      </w:pPr>
      <w:r>
        <w:t>This document sets the Pakistan standard for medical, dental, and vision benefits guide. It should be applied consistently across Pakistan operations unless a written exception is approved through the Policy Exception, Approval, and Governance Framework. Related references include PK-HR-011, PK-HR-012, PK-HR-017.</w:t>
      </w:r>
    </w:p>
    <w:p>
      <w:pPr>
        <w:spacing w:before="120" w:after="40"/>
      </w:pPr>
      <w:r>
        <w:rPr>
          <w:b/>
          <w:color w:val="2C2C2C"/>
          <w:sz w:val="24"/>
        </w:rPr>
        <w:t>Benefit guide</w:t>
      </w:r>
    </w:p>
    <w:p>
      <w:pPr>
        <w:spacing w:after="80" w:line="264" w:lineRule="auto"/>
      </w:pPr>
      <w:r>
        <w:t>The company may offer a mix of medical, dental, and vision support through insurance plans, reimbursement limits, or wellness benefits depending on grade, family status, and annual vendor arrangements. In Pakistan, the core medical focus is usually hospitalization and selected outpatient support, but some plans may also include dental or optical features.</w:t>
      </w:r>
    </w:p>
    <w:p>
      <w:pPr>
        <w:spacing w:after="80" w:line="264" w:lineRule="auto"/>
      </w:pPr>
      <w:r>
        <w:t>Employees should review their plan summary carefully because not every service requires the same process. Some claims are cashless at network hospitals, some are reimbursement-based, and some treatments require pre-authorization.</w:t>
      </w:r>
    </w:p>
    <w:p>
      <w:pPr>
        <w:pStyle w:val="ListBullet"/>
        <w:spacing w:after="20"/>
      </w:pPr>
      <w:r>
        <w:t>Carry your insurer or TPA card details and know the pre-authorization process for planned hospitalization.</w:t>
      </w:r>
    </w:p>
    <w:p>
      <w:pPr>
        <w:pStyle w:val="ListBullet"/>
        <w:spacing w:after="20"/>
      </w:pPr>
      <w:r>
        <w:t>Keep original prescriptions, invoices, and diagnostic reports if the plan allows reimbursement for outpatient, dental, or optical claims.</w:t>
      </w:r>
    </w:p>
    <w:p>
      <w:pPr>
        <w:pStyle w:val="ListBullet"/>
        <w:spacing w:after="20"/>
      </w:pPr>
      <w:r>
        <w:t>Coverage limits, exclusions, room-rent caps, waiting periods, and maternity terms vary by plan and are governed by the current benefit schedule.</w:t>
      </w:r>
    </w:p>
    <w:p>
      <w:pPr>
        <w:pStyle w:val="ListBullet"/>
        <w:spacing w:after="20"/>
      </w:pPr>
      <w:r>
        <w:t>Employees should verify network hospital availability before planned treatment whenever possible.</w:t>
      </w:r>
    </w:p>
    <w:p>
      <w:pPr>
        <w:spacing w:before="120" w:after="40"/>
      </w:pPr>
      <w:r>
        <w:rPr>
          <w:b/>
          <w:color w:val="2C2C2C"/>
          <w:sz w:val="24"/>
        </w:rPr>
        <w:t>Examples and practical guidance</w:t>
      </w:r>
    </w:p>
    <w:p>
      <w:pPr>
        <w:spacing w:after="80" w:line="264" w:lineRule="auto"/>
      </w:pPr>
      <w:r>
        <w:t>Example: A routine eye test may be reimbursable only if the annual plan schedule includes optical support and the receipt is submitted within the required timeline.</w:t>
      </w:r>
    </w:p>
    <w:p>
      <w:pPr>
        <w:spacing w:after="80" w:line="264" w:lineRule="auto"/>
      </w:pPr>
      <w:r>
        <w:t>Example: Dental scaling might be covered under one grade plan but not another. Employees must rely on the current plan booklet rather than assumptions based on prior years.</w:t>
      </w:r>
    </w:p>
    <w:p>
      <w:pPr>
        <w:spacing w:before="120" w:after="40"/>
      </w:pPr>
      <w:r>
        <w:rPr>
          <w:b/>
          <w:color w:val="2C2C2C"/>
          <w:sz w:val="24"/>
        </w:rPr>
        <w:t>Questions and ownership</w:t>
      </w:r>
    </w:p>
    <w:p>
      <w:pPr>
        <w:spacing w:after="80" w:line="264" w:lineRule="auto"/>
      </w:pPr>
      <w:r>
        <w:t>Employees and managers should route questions about this policy to benefits@company.com. Where an issue also involves payroll, benefits, recruitment, onboarding, compliance, talent development, or IT access, the receiving team may coordinate with the relevant function before confirming the final response.</w:t>
      </w:r>
    </w:p>
    <w:p>
      <w:pPr>
        <w:spacing w:after="80" w:line="264" w:lineRule="auto"/>
      </w:pPr>
      <w:r>
        <w:t>This policy may be updated from time to time to reflect business requirements, vendor changes, process improvements, or applicable legal considerations. Employees are expected to follow the latest approved version circulated by the company.</w:t>
      </w:r>
    </w:p>
    <w:sectPr w:rsidR="00FC693F" w:rsidRPr="0006063C" w:rsidSect="00034616">
      <w:footerReference w:type="default" r:id="rId9"/>
      <w:pgSz w:w="12240" w:h="15840"/>
      <w:pgMar w:top="1008"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t>PK-HR-013 | Pakistan</w:t>
    </w:r>
  </w:p>
  <w:p>
    <w:pP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