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Retirement Savings and Financial Wellbeing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PK-HR-015</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retirement savings and financial wellbeing policy. It should be applied consistently across Pakistan operations unless a written exception is approved through the Policy Exception, Approval, and Governance Framework. Related references include PK-HR-011, PK-HR-028, PK-HR-046.</w:t>
      </w:r>
    </w:p>
    <w:p>
      <w:pPr>
        <w:spacing w:before="120" w:after="40"/>
      </w:pPr>
      <w:r>
        <w:rPr>
          <w:b/>
          <w:color w:val="2C2C2C"/>
          <w:sz w:val="24"/>
        </w:rPr>
        <w:t>Savings and financial wellbeing</w:t>
      </w:r>
    </w:p>
    <w:p>
      <w:pPr>
        <w:spacing w:after="80" w:line="264" w:lineRule="auto"/>
      </w:pPr>
      <w:r>
        <w:t>Financial wellbeing support in Pakistan may include provident-fund style savings, gratuity where applicable, salary certificates, tax documentation, and employee education on common payroll or reimbursement processes. The exact mix depends on company plan design, service rules, and annual program terms.</w:t>
      </w:r>
    </w:p>
    <w:p>
      <w:pPr>
        <w:spacing w:after="80" w:line="264" w:lineRule="auto"/>
      </w:pPr>
      <w:r>
        <w:t>This policy does not promise any particular statutory or retirement outcome. It explains how employees should understand and use the support that the company provides.</w:t>
      </w:r>
    </w:p>
    <w:p>
      <w:pPr>
        <w:pStyle w:val="ListBullet"/>
        <w:spacing w:after="20"/>
      </w:pPr>
      <w:r>
        <w:t>Where a provident fund is offered, participation, vesting, and company contribution rules are governed by the formal trust deed or plan rules.</w:t>
      </w:r>
    </w:p>
    <w:p>
      <w:pPr>
        <w:pStyle w:val="ListBullet"/>
        <w:spacing w:after="20"/>
      </w:pPr>
      <w:r>
        <w:t>Payroll can provide standard salary or employment letters for personal banking or tenancy purposes subject to verification and approval controls.</w:t>
      </w:r>
    </w:p>
    <w:p>
      <w:pPr>
        <w:pStyle w:val="ListBullet"/>
        <w:spacing w:after="20"/>
      </w:pPr>
      <w:r>
        <w:t>Employees are responsible for keeping tax and bank information current to avoid delay in payroll, certificates, or year-end records.</w:t>
      </w:r>
    </w:p>
    <w:p>
      <w:pPr>
        <w:pStyle w:val="ListBullet"/>
        <w:spacing w:after="20"/>
      </w:pPr>
      <w:r>
        <w:t>Financial wellbeing sessions may cover budgeting, provident-fund basics, tax awareness, and understanding salary structure components.</w:t>
      </w:r>
    </w:p>
    <w:p>
      <w:pPr>
        <w:spacing w:before="120" w:after="40"/>
      </w:pPr>
      <w:r>
        <w:rPr>
          <w:b/>
          <w:color w:val="2C2C2C"/>
          <w:sz w:val="24"/>
        </w:rPr>
        <w:t>Examples and practical guidance</w:t>
      </w:r>
    </w:p>
    <w:p>
      <w:pPr>
        <w:spacing w:after="80" w:line="264" w:lineRule="auto"/>
      </w:pPr>
      <w:r>
        <w:t>Questions about salary components, annual tax certificates, or payroll documents should be sent to payroll@company.com. Questions about company savings plans or benefits should go to benefits@company.com.</w:t>
      </w:r>
    </w:p>
    <w:p>
      <w:pPr>
        <w:spacing w:after="80" w:line="264" w:lineRule="auto"/>
      </w:pPr>
      <w:r>
        <w:t>Employees should not treat manager guidance on tax planning as professional tax advice; where necessary they should consult a qualified advisor.</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PK-HR-015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