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Paid Time Off Accrual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PK-HR-016</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paid time off accrual policy. It should be applied consistently across Pakistan operations unless a written exception is approved through the Policy Exception, Approval, and Governance Framework. Related references include PK-HR-020, PK-HR-021, PK-HR-022, PK-HR-038.</w:t>
      </w:r>
    </w:p>
    <w:p>
      <w:pPr>
        <w:spacing w:before="120" w:after="40"/>
      </w:pPr>
      <w:r>
        <w:rPr>
          <w:b/>
          <w:color w:val="2C2C2C"/>
          <w:sz w:val="24"/>
        </w:rPr>
        <w:t>Accrual rules</w:t>
      </w:r>
    </w:p>
    <w:p>
      <w:pPr>
        <w:spacing w:after="80" w:line="264" w:lineRule="auto"/>
      </w:pPr>
      <w:r>
        <w:t>Regular full-time employees accrue annual paid leave at the rate of 1.5 working days per completed month, which equals 18 working days across a full calendar year. Annual leave is prorated for joiners, movers, and leavers based on service during the year.</w:t>
      </w:r>
    </w:p>
    <w:p>
      <w:pPr>
        <w:spacing w:after="80" w:line="264" w:lineRule="auto"/>
      </w:pPr>
      <w:r>
        <w:t>Annual leave is intended for rest, travel, family time, and personal renewal. Managers should encourage employees to use leave regularly rather than accumulating large balances that create burnout risk or business disruption.</w:t>
      </w:r>
    </w:p>
    <w:p>
      <w:pPr>
        <w:pStyle w:val="ListBullet"/>
        <w:spacing w:after="20"/>
      </w:pPr>
      <w:r>
        <w:t>Unused annual leave may be carried over up to a maximum of 5 days and must be used by 31 March of the following calendar year, after which any remaining carryover expires unless the company approves an exception for business reasons.</w:t>
      </w:r>
    </w:p>
    <w:p>
      <w:pPr>
        <w:pStyle w:val="ListBullet"/>
        <w:spacing w:after="20"/>
      </w:pPr>
      <w:r>
        <w:t>Employees should request planned annual leave at least 3 working days in advance for planned leave. High-demand periods such as Eid travel, school vacations, or year-end closures may require earlier planning.</w:t>
      </w:r>
    </w:p>
    <w:p>
      <w:pPr>
        <w:pStyle w:val="ListBullet"/>
        <w:spacing w:after="20"/>
      </w:pPr>
      <w:r>
        <w:t>Managers may stagger leave within a team to maintain service coverage, but they should apply scheduling rules consistently and avoid blocking reasonable use of earned leave.</w:t>
      </w:r>
    </w:p>
    <w:p>
      <w:pPr>
        <w:pStyle w:val="ListBullet"/>
        <w:spacing w:after="20"/>
      </w:pPr>
      <w:r>
        <w:t>Leave cannot normally be taken before it is accrued unless a specific advance-leave arrangement is approved in writing.</w:t>
      </w:r>
    </w:p>
    <w:p>
      <w:pPr>
        <w:spacing w:before="120" w:after="40"/>
      </w:pPr>
      <w:r>
        <w:rPr>
          <w:b/>
          <w:color w:val="2C2C2C"/>
          <w:sz w:val="24"/>
        </w:rPr>
        <w:t>Examples and practical guidance</w:t>
      </w:r>
    </w:p>
    <w:p>
      <w:pPr>
        <w:spacing w:after="80" w:line="264" w:lineRule="auto"/>
      </w:pPr>
      <w:r>
        <w:t>Example: An employee with 4 carried-forward days on 1 January must use those days by 31 March or they will lapse if no approved exception exists.</w:t>
      </w:r>
    </w:p>
    <w:p>
      <w:pPr>
        <w:spacing w:after="80" w:line="264" w:lineRule="auto"/>
      </w:pPr>
      <w:r>
        <w:t>Example: If two team members request the same week off before Eid, the manager should review business coverage, prior leave usage, and the timing of requests, then document the decision.</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PK-HR-016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