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Parental Leave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PK-HR-018</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parental leave policy. It should be applied consistently across Pakistan operations unless a written exception is approved through the Policy Exception, Approval, and Governance Framework. Related references include PK-HR-012, PK-HR-020, PK-HR-021, PK-HR-047.</w:t>
      </w:r>
    </w:p>
    <w:p>
      <w:pPr>
        <w:spacing w:before="120" w:after="40"/>
      </w:pPr>
      <w:r>
        <w:rPr>
          <w:b/>
          <w:color w:val="2C2C2C"/>
          <w:sz w:val="24"/>
        </w:rPr>
        <w:t>Parental leave support</w:t>
      </w:r>
    </w:p>
    <w:p>
      <w:pPr>
        <w:spacing w:after="80" w:line="264" w:lineRule="auto"/>
      </w:pPr>
      <w:r>
        <w:t>The company provides 16 weeks of paid leave for an eligible primary caregiver following childbirth, adoption, or placement of a child where supported by documentation. An eligible supporting caregiver may receive 10 working days of paid leave. These are company policy benefits and may operate alongside any local statutory entitlements that apply.</w:t>
      </w:r>
    </w:p>
    <w:p>
      <w:pPr>
        <w:spacing w:after="80" w:line="264" w:lineRule="auto"/>
      </w:pPr>
      <w:r>
        <w:t>Employees are encouraged to notify People Team and their manager as early as practical so coverage, knowledge transfer, and documentation can be arranged respectfully and without last-minute disruption.</w:t>
      </w:r>
    </w:p>
    <w:p>
      <w:pPr>
        <w:pStyle w:val="ListBullet"/>
        <w:spacing w:after="20"/>
      </w:pPr>
      <w:r>
        <w:t>Leave may begin before, on, or after the event as approved and documented through the leave process.</w:t>
      </w:r>
    </w:p>
    <w:p>
      <w:pPr>
        <w:pStyle w:val="ListBullet"/>
        <w:spacing w:after="20"/>
      </w:pPr>
      <w:r>
        <w:t>Medical or family documentation may be required to confirm eligibility, but requests will be handled sensitively and with appropriate confidentiality.</w:t>
      </w:r>
    </w:p>
    <w:p>
      <w:pPr>
        <w:pStyle w:val="ListBullet"/>
        <w:spacing w:after="20"/>
      </w:pPr>
      <w:r>
        <w:t>Employees may request a phased return, temporary flexibility, or an unpaid extension subject to business need and approval.</w:t>
      </w:r>
    </w:p>
    <w:p>
      <w:pPr>
        <w:pStyle w:val="ListBullet"/>
        <w:spacing w:after="20"/>
      </w:pPr>
      <w:r>
        <w:t>Benefits continuation and payroll handling during leave will be explained individually based on the employee’s status and plan participation.</w:t>
      </w:r>
    </w:p>
    <w:p>
      <w:pPr>
        <w:spacing w:before="120" w:after="40"/>
      </w:pPr>
      <w:r>
        <w:rPr>
          <w:b/>
          <w:color w:val="2C2C2C"/>
          <w:sz w:val="24"/>
        </w:rPr>
        <w:t>Examples and practical guidance</w:t>
      </w:r>
    </w:p>
    <w:p>
      <w:pPr>
        <w:spacing w:after="80" w:line="264" w:lineRule="auto"/>
      </w:pPr>
      <w:r>
        <w:t>Example: A primary caregiver plans the final month of work with a handover checklist, designates a backup approver, and confirms the expected return date before starting leave.</w:t>
      </w:r>
    </w:p>
    <w:p>
      <w:pPr>
        <w:spacing w:after="80" w:line="264" w:lineRule="auto"/>
      </w:pPr>
      <w:r>
        <w:t>Example: A supporting caregiver taking 10 working days after a birth should still submit the leave request and basic supporting record so payroll and attendance remain aligned.</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PK-HR-018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