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Payroll Schedule and Payslip Review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PK-HR-023</w:t>
            </w:r>
          </w:p>
        </w:tc>
        <w:tc>
          <w:tcPr>
            <w:tcW w:type="dxa" w:w="2376"/>
          </w:tcPr>
          <w:p>
            <w:r>
              <w:rPr>
                <w:rFonts w:ascii="Arial" w:hAnsi="Arial"/>
                <w:sz w:val="18"/>
              </w:rPr>
              <w:t>Pakistan</w:t>
            </w:r>
          </w:p>
        </w:tc>
        <w:tc>
          <w:tcPr>
            <w:tcW w:type="dxa" w:w="2376"/>
          </w:tcPr>
          <w:p>
            <w:r>
              <w:rPr>
                <w:rFonts w:ascii="Arial" w:hAnsi="Arial"/>
                <w:sz w:val="18"/>
              </w:rPr>
              <w:t>Payroll</w:t>
            </w:r>
          </w:p>
        </w:tc>
        <w:tc>
          <w:tcPr>
            <w:tcW w:type="dxa" w:w="2736"/>
          </w:tcPr>
          <w:p>
            <w:r>
              <w:rPr>
                <w:rFonts w:ascii="Arial" w:hAnsi="Arial"/>
                <w:sz w:val="18"/>
              </w:rPr>
              <w:t>payroll@company.com</w:t>
            </w:r>
          </w:p>
        </w:tc>
      </w:tr>
    </w:tbl>
    <w:p/>
    <w:p>
      <w:pPr>
        <w:spacing w:before="120" w:after="40"/>
      </w:pPr>
      <w:r>
        <w:rPr>
          <w:b/>
          <w:color w:val="2C2C2C"/>
          <w:sz w:val="24"/>
        </w:rPr>
        <w:t>Policy summary</w:t>
      </w:r>
    </w:p>
    <w:p>
      <w:pPr>
        <w:spacing w:after="80" w:line="264" w:lineRule="auto"/>
      </w:pPr>
      <w:r>
        <w:t>This document sets the Pakistan standard for payroll schedule and payslip review policy. It should be applied consistently across Pakistan operations unless a written exception is approved through the Policy Exception, Approval, and Governance Framework. Related references include PK-HR-024, PK-HR-027, PK-HR-048, PK-HR-049.</w:t>
      </w:r>
    </w:p>
    <w:p>
      <w:pPr>
        <w:spacing w:before="120" w:after="40"/>
      </w:pPr>
      <w:r>
        <w:rPr>
          <w:b/>
          <w:color w:val="2C2C2C"/>
          <w:sz w:val="24"/>
        </w:rPr>
        <w:t>Payroll operations</w:t>
      </w:r>
    </w:p>
    <w:p>
      <w:pPr>
        <w:spacing w:after="80" w:line="264" w:lineRule="auto"/>
      </w:pPr>
      <w:r>
        <w:t>Salaries are ordinarily paid on the last working day of each month by bank transfer in Pakistani Rupees, subject to completion of payroll cutoffs, attendance review, and banking system availability. Payroll aims to deliver accurate salary, allowances, deductions, and approved reimbursements in one consolidated monthly cycle.</w:t>
      </w:r>
    </w:p>
    <w:p>
      <w:pPr>
        <w:spacing w:after="80" w:line="264" w:lineRule="auto"/>
      </w:pPr>
      <w:r>
        <w:t>Employees should review their payslip each month rather than assuming any difference will self-correct. Early review helps resolve issues while records and approvals are still fresh.</w:t>
      </w:r>
    </w:p>
    <w:p>
      <w:pPr>
        <w:pStyle w:val="ListBullet"/>
        <w:spacing w:after="20"/>
      </w:pPr>
      <w:r>
        <w:t>Changes affecting pay—such as new joiners, confirmations, exits, leave without pay, overtime for eligible roles, or benefit deductions—must meet payroll cutoffs to appear in the current month.</w:t>
      </w:r>
    </w:p>
    <w:p>
      <w:pPr>
        <w:pStyle w:val="ListBullet"/>
        <w:spacing w:after="20"/>
      </w:pPr>
      <w:r>
        <w:t>Payslips are made available through the designated portal or secure distribution method on or near pay date.</w:t>
      </w:r>
    </w:p>
    <w:p>
      <w:pPr>
        <w:pStyle w:val="ListBullet"/>
        <w:spacing w:after="20"/>
      </w:pPr>
      <w:r>
        <w:t>Employees should report suspected payroll errors within 5 business days of receiving the payslip, including the pay period, issue summary, and any relevant approvals.</w:t>
      </w:r>
    </w:p>
    <w:p>
      <w:pPr>
        <w:pStyle w:val="ListBullet"/>
        <w:spacing w:after="20"/>
      </w:pPr>
      <w:r>
        <w:t>Sensitive payroll data should not be shared in open team channels or with people who do not need the information.</w:t>
      </w:r>
    </w:p>
    <w:p>
      <w:pPr>
        <w:spacing w:before="120" w:after="40"/>
      </w:pPr>
      <w:r>
        <w:rPr>
          <w:b/>
          <w:color w:val="2C2C2C"/>
          <w:sz w:val="24"/>
        </w:rPr>
        <w:t>Examples and practical guidance</w:t>
      </w:r>
    </w:p>
    <w:p>
      <w:pPr>
        <w:spacing w:after="80" w:line="264" w:lineRule="auto"/>
      </w:pPr>
      <w:r>
        <w:t>Example: If an employee is confirmed after the monthly cutoff, the salary revision may appear in the next payroll with any approved arrears treatment.</w:t>
      </w:r>
    </w:p>
    <w:p>
      <w:pPr>
        <w:spacing w:after="80" w:line="264" w:lineRule="auto"/>
      </w:pPr>
      <w:r>
        <w:t>Example: Bank account changes submitted late in the cycle may not apply until the next payroll run, so employees should keep banking details current well before pay day.</w:t>
      </w:r>
    </w:p>
    <w:p>
      <w:pPr>
        <w:spacing w:before="120" w:after="40"/>
      </w:pPr>
      <w:r>
        <w:rPr>
          <w:b/>
          <w:color w:val="2C2C2C"/>
          <w:sz w:val="24"/>
        </w:rPr>
        <w:t>Questions and ownership</w:t>
      </w:r>
    </w:p>
    <w:p>
      <w:pPr>
        <w:spacing w:after="80" w:line="264" w:lineRule="auto"/>
      </w:pPr>
      <w:r>
        <w:t>Employees and managers should route questions about this policy to payroll@company.com.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PK-HR-023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