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Payroll Corrections and Escalation Procedure</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PK-HR-024</w:t>
            </w:r>
          </w:p>
        </w:tc>
        <w:tc>
          <w:tcPr>
            <w:tcW w:type="dxa" w:w="2376"/>
          </w:tcPr>
          <w:p>
            <w:r>
              <w:rPr>
                <w:rFonts w:ascii="Arial" w:hAnsi="Arial"/>
                <w:sz w:val="18"/>
              </w:rPr>
              <w:t>Pakistan</w:t>
            </w:r>
          </w:p>
        </w:tc>
        <w:tc>
          <w:tcPr>
            <w:tcW w:type="dxa" w:w="2376"/>
          </w:tcPr>
          <w:p>
            <w:r>
              <w:rPr>
                <w:rFonts w:ascii="Arial" w:hAnsi="Arial"/>
                <w:sz w:val="18"/>
              </w:rPr>
              <w:t>Payroll</w:t>
            </w:r>
          </w:p>
        </w:tc>
        <w:tc>
          <w:tcPr>
            <w:tcW w:type="dxa" w:w="2736"/>
          </w:tcPr>
          <w:p>
            <w:r>
              <w:rPr>
                <w:rFonts w:ascii="Arial" w:hAnsi="Arial"/>
                <w:sz w:val="18"/>
              </w:rPr>
              <w:t>payroll@company.com</w:t>
            </w:r>
          </w:p>
        </w:tc>
      </w:tr>
    </w:tbl>
    <w:p/>
    <w:p>
      <w:pPr>
        <w:spacing w:before="120" w:after="40"/>
      </w:pPr>
      <w:r>
        <w:rPr>
          <w:b/>
          <w:color w:val="2C2C2C"/>
          <w:sz w:val="24"/>
        </w:rPr>
        <w:t>Policy summary</w:t>
      </w:r>
    </w:p>
    <w:p>
      <w:pPr>
        <w:spacing w:after="80" w:line="264" w:lineRule="auto"/>
      </w:pPr>
      <w:r>
        <w:t>This document sets the Pakistan standard for payroll corrections and escalation procedure. It should be applied consistently across Pakistan operations unless a written exception is approved through the Policy Exception, Approval, and Governance Framework. Related references include PK-HR-023, PK-HR-025, PK-HR-027, PK-HR-048.</w:t>
      </w:r>
    </w:p>
    <w:p>
      <w:pPr>
        <w:spacing w:before="120" w:after="40"/>
      </w:pPr>
      <w:r>
        <w:rPr>
          <w:b/>
          <w:color w:val="2C2C2C"/>
          <w:sz w:val="24"/>
        </w:rPr>
        <w:t>Correction workflow</w:t>
      </w:r>
    </w:p>
    <w:p>
      <w:pPr>
        <w:spacing w:after="80" w:line="264" w:lineRule="auto"/>
      </w:pPr>
      <w:r>
        <w:t>Payroll corrections are handled according to materiality, timing, evidence, and whether the issue can be safely processed off-cycle. The company wants to correct mistakes quickly while maintaining proper controls over pay changes and bank instructions.</w:t>
      </w:r>
    </w:p>
    <w:p>
      <w:pPr>
        <w:spacing w:after="80" w:line="264" w:lineRule="auto"/>
      </w:pPr>
      <w:r>
        <w:t>Employees and managers should provide complete records so Payroll does not have to reconstruct facts from incomplete chat history.</w:t>
      </w:r>
    </w:p>
    <w:p>
      <w:pPr>
        <w:pStyle w:val="ListBullet"/>
        <w:spacing w:after="20"/>
      </w:pPr>
      <w:r>
        <w:t>Payroll will normally acknowledge a correction request within 2 business days.</w:t>
      </w:r>
    </w:p>
    <w:p>
      <w:pPr>
        <w:pStyle w:val="ListBullet"/>
        <w:spacing w:after="20"/>
      </w:pPr>
      <w:r>
        <w:t>Common issues include incorrect leave without pay, missed overtime for eligible roles, wrong bank details, duplicate deductions, or reimbursement amounts that did not transfer from the expense system.</w:t>
      </w:r>
    </w:p>
    <w:p>
      <w:pPr>
        <w:pStyle w:val="ListBullet"/>
        <w:spacing w:after="20"/>
      </w:pPr>
      <w:r>
        <w:t>If the matter is material and clearly documented, Payroll may arrange an off-cycle correction; otherwise it may be adjusted in the next monthly payroll.</w:t>
      </w:r>
    </w:p>
    <w:p>
      <w:pPr>
        <w:pStyle w:val="ListBullet"/>
        <w:spacing w:after="20"/>
      </w:pPr>
      <w:r>
        <w:t>Escalations should go to payroll@company.com with manager support where appropriate. Compliance may be involved where a correction suggests misconduct or falsification.</w:t>
      </w:r>
    </w:p>
    <w:p>
      <w:pPr>
        <w:spacing w:before="120" w:after="40"/>
      </w:pPr>
      <w:r>
        <w:rPr>
          <w:b/>
          <w:color w:val="2C2C2C"/>
          <w:sz w:val="24"/>
        </w:rPr>
        <w:t>Examples and practical guidance</w:t>
      </w:r>
    </w:p>
    <w:p>
      <w:pPr>
        <w:spacing w:after="80" w:line="264" w:lineRule="auto"/>
      </w:pPr>
      <w:r>
        <w:t>Example: A one-day attendance coding error may be corrected in the next payroll if the amount is small and the employee agrees after review.</w:t>
      </w:r>
    </w:p>
    <w:p>
      <w:pPr>
        <w:spacing w:after="80" w:line="264" w:lineRule="auto"/>
      </w:pPr>
      <w:r>
        <w:t>Example: If a new joiner’s first salary did not credit due to incorrect IBAN details, Payroll may review whether an off-cycle payment is justified once bank documentation is confirmed.</w:t>
      </w:r>
    </w:p>
    <w:p>
      <w:pPr>
        <w:spacing w:before="120" w:after="40"/>
      </w:pPr>
      <w:r>
        <w:rPr>
          <w:b/>
          <w:color w:val="2C2C2C"/>
          <w:sz w:val="24"/>
        </w:rPr>
        <w:t>Questions and ownership</w:t>
      </w:r>
    </w:p>
    <w:p>
      <w:pPr>
        <w:spacing w:after="80" w:line="264" w:lineRule="auto"/>
      </w:pPr>
      <w:r>
        <w:t>Employees and managers should route questions about this policy to payroll@company.com.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PK-HR-024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