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Expense Reimbursement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PK-HR-025</w:t>
            </w:r>
          </w:p>
        </w:tc>
        <w:tc>
          <w:tcPr>
            <w:tcW w:type="dxa" w:w="2376"/>
          </w:tcPr>
          <w:p>
            <w:r>
              <w:rPr>
                <w:rFonts w:ascii="Arial" w:hAnsi="Arial"/>
                <w:sz w:val="18"/>
              </w:rPr>
              <w:t>Pakistan</w:t>
            </w:r>
          </w:p>
        </w:tc>
        <w:tc>
          <w:tcPr>
            <w:tcW w:type="dxa" w:w="2376"/>
          </w:tcPr>
          <w:p>
            <w:r>
              <w:rPr>
                <w:rFonts w:ascii="Arial" w:hAnsi="Arial"/>
                <w:sz w:val="18"/>
              </w:rPr>
              <w:t>Payroll</w:t>
            </w:r>
          </w:p>
        </w:tc>
        <w:tc>
          <w:tcPr>
            <w:tcW w:type="dxa" w:w="2736"/>
          </w:tcPr>
          <w:p>
            <w:r>
              <w:rPr>
                <w:rFonts w:ascii="Arial" w:hAnsi="Arial"/>
                <w:sz w:val="18"/>
              </w:rPr>
              <w:t>payroll@company.com</w:t>
            </w:r>
          </w:p>
        </w:tc>
      </w:tr>
    </w:tbl>
    <w:p/>
    <w:p>
      <w:pPr>
        <w:spacing w:before="120" w:after="40"/>
      </w:pPr>
      <w:r>
        <w:rPr>
          <w:b/>
          <w:color w:val="2C2C2C"/>
          <w:sz w:val="24"/>
        </w:rPr>
        <w:t>Policy summary</w:t>
      </w:r>
    </w:p>
    <w:p>
      <w:pPr>
        <w:spacing w:after="80" w:line="264" w:lineRule="auto"/>
      </w:pPr>
      <w:r>
        <w:t>This document sets the Pakistan standard for expense reimbursement policy. It should be applied consistently across Pakistan operations unless a written exception is approved through the Policy Exception, Approval, and Governance Framework. Related references include PK-HR-024, PK-HR-026, PK-HR-049.</w:t>
      </w:r>
    </w:p>
    <w:p>
      <w:pPr>
        <w:spacing w:before="120" w:after="40"/>
      </w:pPr>
      <w:r>
        <w:rPr>
          <w:b/>
          <w:color w:val="2C2C2C"/>
          <w:sz w:val="24"/>
        </w:rPr>
        <w:t>Reimbursement rules</w:t>
      </w:r>
    </w:p>
    <w:p>
      <w:pPr>
        <w:spacing w:after="80" w:line="264" w:lineRule="auto"/>
      </w:pPr>
      <w:r>
        <w:t>Employees may claim reimbursement for approved business expenses that are reasonable, properly documented, and directly connected to company work. Reimbursements are not an alternate way to increase pay and must not be used for personal, family, or mixed-purpose spending unless the business portion is clearly separated and approved.</w:t>
      </w:r>
    </w:p>
    <w:p>
      <w:pPr>
        <w:spacing w:after="80" w:line="264" w:lineRule="auto"/>
      </w:pPr>
      <w:r>
        <w:t>Typical reimbursable items include local travel for approved business activity, client meeting costs, visa or documentation fees where pre-approved, business supplies purchased with approval, and other items defined by finance guidance.</w:t>
      </w:r>
    </w:p>
    <w:p>
      <w:pPr>
        <w:pStyle w:val="ListBullet"/>
        <w:spacing w:after="20"/>
      </w:pPr>
      <w:r>
        <w:t>Claims must normally be submitted within 30 calendar days from the expense date and should include an itemized receipt, business purpose, attendees if relevant, and cost center or project information.</w:t>
      </w:r>
    </w:p>
    <w:p>
      <w:pPr>
        <w:pStyle w:val="ListBullet"/>
        <w:spacing w:after="20"/>
      </w:pPr>
      <w:r>
        <w:t>Foreign-currency expenses should be recorded in the original currency with the supporting receipt; conversion to PKR will follow the company’s reimbursement method.</w:t>
      </w:r>
    </w:p>
    <w:p>
      <w:pPr>
        <w:pStyle w:val="ListBullet"/>
        <w:spacing w:after="20"/>
      </w:pPr>
      <w:r>
        <w:t>Alcohol, personal shopping, family meals, traffic fines, and undocumented cash expenses are not reimbursable unless a written exception exists.</w:t>
      </w:r>
    </w:p>
    <w:p>
      <w:pPr>
        <w:pStyle w:val="ListBullet"/>
        <w:spacing w:after="20"/>
      </w:pPr>
      <w:r>
        <w:t>Employees should not split one expense into multiple claims to bypass approval rules.</w:t>
      </w:r>
    </w:p>
    <w:p>
      <w:pPr>
        <w:spacing w:before="120" w:after="40"/>
      </w:pPr>
      <w:r>
        <w:rPr>
          <w:b/>
          <w:color w:val="2C2C2C"/>
          <w:sz w:val="24"/>
        </w:rPr>
        <w:t>Examples and practical guidance</w:t>
      </w:r>
    </w:p>
    <w:p>
      <w:pPr>
        <w:spacing w:after="80" w:line="264" w:lineRule="auto"/>
      </w:pPr>
      <w:r>
        <w:t>Example: A same-day intercity client visit may include approved train or economy airfare, local taxi fare, and a client meal with receipt and attendee names.</w:t>
      </w:r>
    </w:p>
    <w:p>
      <w:pPr>
        <w:spacing w:after="80" w:line="264" w:lineRule="auto"/>
      </w:pPr>
      <w:r>
        <w:t>Example: A taxi receipt for PKR 2,800 from office to airport may be reimbursable if the travel was pre-approved for business purposes and properly documented.</w:t>
      </w:r>
    </w:p>
    <w:p>
      <w:pPr>
        <w:spacing w:before="120" w:after="40"/>
      </w:pPr>
      <w:r>
        <w:rPr>
          <w:b/>
          <w:color w:val="2C2C2C"/>
          <w:sz w:val="24"/>
        </w:rPr>
        <w:t>Questions and ownership</w:t>
      </w:r>
    </w:p>
    <w:p>
      <w:pPr>
        <w:spacing w:after="80" w:line="264" w:lineRule="auto"/>
      </w:pPr>
      <w:r>
        <w:t>Employees and managers should route questions about this policy to payroll@company.com.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PK-HR-025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