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Travel and Business Expense Approval Rules</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PK-HR-026</w:t>
            </w:r>
          </w:p>
        </w:tc>
        <w:tc>
          <w:tcPr>
            <w:tcW w:type="dxa" w:w="2376"/>
          </w:tcPr>
          <w:p>
            <w:r>
              <w:rPr>
                <w:rFonts w:ascii="Arial" w:hAnsi="Arial"/>
                <w:sz w:val="18"/>
              </w:rPr>
              <w:t>Pakistan</w:t>
            </w:r>
          </w:p>
        </w:tc>
        <w:tc>
          <w:tcPr>
            <w:tcW w:type="dxa" w:w="2376"/>
          </w:tcPr>
          <w:p>
            <w:r>
              <w:rPr>
                <w:rFonts w:ascii="Arial" w:hAnsi="Arial"/>
                <w:sz w:val="18"/>
              </w:rPr>
              <w:t>Payroll</w:t>
            </w:r>
          </w:p>
        </w:tc>
        <w:tc>
          <w:tcPr>
            <w:tcW w:type="dxa" w:w="2736"/>
          </w:tcPr>
          <w:p>
            <w:r>
              <w:rPr>
                <w:rFonts w:ascii="Arial" w:hAnsi="Arial"/>
                <w:sz w:val="18"/>
              </w:rPr>
              <w:t>payroll@company.com</w:t>
            </w:r>
          </w:p>
        </w:tc>
      </w:tr>
    </w:tbl>
    <w:p/>
    <w:p>
      <w:pPr>
        <w:spacing w:before="120" w:after="40"/>
      </w:pPr>
      <w:r>
        <w:rPr>
          <w:b/>
          <w:color w:val="2C2C2C"/>
          <w:sz w:val="24"/>
        </w:rPr>
        <w:t>Policy summary</w:t>
      </w:r>
    </w:p>
    <w:p>
      <w:pPr>
        <w:spacing w:after="80" w:line="264" w:lineRule="auto"/>
      </w:pPr>
      <w:r>
        <w:t>This document sets the Pakistan standard for travel and business expense approval rules. It should be applied consistently across Pakistan operations unless a written exception is approved through the Policy Exception, Approval, and Governance Framework. Related references include PK-HR-025, PK-HR-049, PK-HR-050.</w:t>
      </w:r>
    </w:p>
    <w:p>
      <w:pPr>
        <w:spacing w:before="120" w:after="40"/>
      </w:pPr>
      <w:r>
        <w:rPr>
          <w:b/>
          <w:color w:val="2C2C2C"/>
          <w:sz w:val="24"/>
        </w:rPr>
        <w:t>Approval before spend</w:t>
      </w:r>
    </w:p>
    <w:p>
      <w:pPr>
        <w:spacing w:after="80" w:line="264" w:lineRule="auto"/>
      </w:pPr>
      <w:r>
        <w:t>Travel and higher-value business expenses require approval before the cost is incurred unless there is a genuine emergency. The company uses pre-approval to manage budget, traveler safety, and consistency across teams.</w:t>
      </w:r>
    </w:p>
    <w:p>
      <w:pPr>
        <w:spacing w:after="80" w:line="264" w:lineRule="auto"/>
      </w:pPr>
      <w:r>
        <w:t>Employees should select practical, cost-conscious options that meet business needs without creating avoidable inconvenience or risk.</w:t>
      </w:r>
    </w:p>
    <w:p>
      <w:pPr>
        <w:pStyle w:val="ListBullet"/>
        <w:spacing w:after="20"/>
      </w:pPr>
      <w:r>
        <w:t>Air and rail travel should be booked at the lowest logical fare that meets scheduling needs, using company travel processes where provided.</w:t>
      </w:r>
    </w:p>
    <w:p>
      <w:pPr>
        <w:pStyle w:val="ListBullet"/>
        <w:spacing w:after="20"/>
      </w:pPr>
      <w:r>
        <w:t>Hotels should be safe, reputable, and within the approved budget band for the city. Upgrades, minibar, entertainment, and personal extensions are generally not reimbursable.</w:t>
      </w:r>
    </w:p>
    <w:p>
      <w:pPr>
        <w:pStyle w:val="ListBullet"/>
        <w:spacing w:after="20"/>
      </w:pPr>
      <w:r>
        <w:t>Client meals should be modest, business-related, and supported by a receipt with attendee names or a meeting note.</w:t>
      </w:r>
    </w:p>
    <w:p>
      <w:pPr>
        <w:pStyle w:val="ListBullet"/>
        <w:spacing w:after="20"/>
      </w:pPr>
      <w:r>
        <w:t>Cash advances, if exceptionally approved, must be reconciled with receipts and any unused amount returned promptly.</w:t>
      </w:r>
    </w:p>
    <w:p>
      <w:pPr>
        <w:spacing w:before="120" w:after="40"/>
      </w:pPr>
      <w:r>
        <w:rPr>
          <w:b/>
          <w:color w:val="2C2C2C"/>
          <w:sz w:val="24"/>
        </w:rPr>
        <w:t>Examples and practical guidance</w:t>
      </w:r>
    </w:p>
    <w:p>
      <w:pPr>
        <w:spacing w:after="80" w:line="264" w:lineRule="auto"/>
      </w:pPr>
      <w:r>
        <w:t>Example: An employee traveling from Lahore to Karachi for a client workshop should obtain manager approval before booking flights and hotel, even if the cost seems routine.</w:t>
      </w:r>
    </w:p>
    <w:p>
      <w:pPr>
        <w:spacing w:after="80" w:line="264" w:lineRule="auto"/>
      </w:pPr>
      <w:r>
        <w:t>Example: Booking a business-class ticket without prior written approval for a short domestic trip is likely to be rejected on reimbursement review.</w:t>
      </w:r>
    </w:p>
    <w:p>
      <w:pPr>
        <w:spacing w:before="120" w:after="40"/>
      </w:pPr>
      <w:r>
        <w:rPr>
          <w:b/>
          <w:color w:val="2C2C2C"/>
          <w:sz w:val="24"/>
        </w:rPr>
        <w:t>Questions and ownership</w:t>
      </w:r>
    </w:p>
    <w:p>
      <w:pPr>
        <w:spacing w:after="80" w:line="264" w:lineRule="auto"/>
      </w:pPr>
      <w:r>
        <w:t>Employees and managers should route questions about this policy to payroll@company.com.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PK-HR-026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