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Overtime, Timekeeping, and Attendance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PK-HR-027</w:t>
            </w:r>
          </w:p>
        </w:tc>
        <w:tc>
          <w:tcPr>
            <w:tcW w:type="dxa" w:w="2376"/>
          </w:tcPr>
          <w:p>
            <w:r>
              <w:rPr>
                <w:rFonts w:ascii="Arial" w:hAnsi="Arial"/>
                <w:sz w:val="18"/>
              </w:rPr>
              <w:t>Pakistan</w:t>
            </w:r>
          </w:p>
        </w:tc>
        <w:tc>
          <w:tcPr>
            <w:tcW w:type="dxa" w:w="2376"/>
          </w:tcPr>
          <w:p>
            <w:r>
              <w:rPr>
                <w:rFonts w:ascii="Arial" w:hAnsi="Arial"/>
                <w:sz w:val="18"/>
              </w:rPr>
              <w:t>Payroll</w:t>
            </w:r>
          </w:p>
        </w:tc>
        <w:tc>
          <w:tcPr>
            <w:tcW w:type="dxa" w:w="2736"/>
          </w:tcPr>
          <w:p>
            <w:r>
              <w:rPr>
                <w:rFonts w:ascii="Arial" w:hAnsi="Arial"/>
                <w:sz w:val="18"/>
              </w:rPr>
              <w:t>payroll@company.com</w:t>
            </w:r>
          </w:p>
        </w:tc>
      </w:tr>
    </w:tbl>
    <w:p/>
    <w:p>
      <w:pPr>
        <w:spacing w:before="120" w:after="40"/>
      </w:pPr>
      <w:r>
        <w:rPr>
          <w:b/>
          <w:color w:val="2C2C2C"/>
          <w:sz w:val="24"/>
        </w:rPr>
        <w:t>Policy summary</w:t>
      </w:r>
    </w:p>
    <w:p>
      <w:pPr>
        <w:spacing w:after="80" w:line="264" w:lineRule="auto"/>
      </w:pPr>
      <w:r>
        <w:t>This document sets the Pakistan standard for overtime, timekeeping, and attendance policy. It should be applied consistently across Pakistan operations unless a written exception is approved through the Policy Exception, Approval, and Governance Framework. Related references include PK-HR-023, PK-HR-024, PK-HR-038.</w:t>
      </w:r>
    </w:p>
    <w:p>
      <w:pPr>
        <w:spacing w:before="120" w:after="40"/>
      </w:pPr>
      <w:r>
        <w:rPr>
          <w:b/>
          <w:color w:val="2C2C2C"/>
          <w:sz w:val="24"/>
        </w:rPr>
        <w:t>Time and attendance</w:t>
      </w:r>
    </w:p>
    <w:p>
      <w:pPr>
        <w:spacing w:after="80" w:line="264" w:lineRule="auto"/>
      </w:pPr>
      <w:r>
        <w:t>Accurate time and attendance records are essential for payroll, staffing, compliance, and service planning. Employees must record attendance, shift data, or overtime only through approved systems and must not ask others to mark attendance on their behalf.</w:t>
      </w:r>
    </w:p>
    <w:p>
      <w:pPr>
        <w:spacing w:after="80" w:line="264" w:lineRule="auto"/>
      </w:pPr>
      <w:r>
        <w:t>This policy applies differently depending on role type. Some employees are paid strictly against timesheets or shift records, while others are salaried but still required to record attendance for operational purposes.</w:t>
      </w:r>
    </w:p>
    <w:p>
      <w:pPr>
        <w:pStyle w:val="ListBullet"/>
        <w:spacing w:after="20"/>
      </w:pPr>
      <w:r>
        <w:t>Employees must follow the schedule communicated for their role and location and should notify the manager promptly about lateness, absence, or unexpected schedule change.</w:t>
      </w:r>
    </w:p>
    <w:p>
      <w:pPr>
        <w:pStyle w:val="ListBullet"/>
        <w:spacing w:after="20"/>
      </w:pPr>
      <w:r>
        <w:t>Overtime is only paid or credited for designated eligible roles and must be approved in advance except in a documented emergency.</w:t>
      </w:r>
    </w:p>
    <w:p>
      <w:pPr>
        <w:pStyle w:val="ListBullet"/>
        <w:spacing w:after="20"/>
      </w:pPr>
      <w:r>
        <w:t>Repeated late arrival, early departure, or inaccurate attendance marking may lead to coaching or corrective action.</w:t>
      </w:r>
    </w:p>
    <w:p>
      <w:pPr>
        <w:pStyle w:val="ListBullet"/>
        <w:spacing w:after="20"/>
      </w:pPr>
      <w:r>
        <w:t>Managers must review monthly records carefully and should not approve obviously incomplete or implausible timesheets.</w:t>
      </w:r>
    </w:p>
    <w:p>
      <w:pPr>
        <w:spacing w:before="120" w:after="40"/>
      </w:pPr>
      <w:r>
        <w:rPr>
          <w:b/>
          <w:color w:val="2C2C2C"/>
          <w:sz w:val="24"/>
        </w:rPr>
        <w:t>Examples and practical guidance</w:t>
      </w:r>
    </w:p>
    <w:p>
      <w:pPr>
        <w:spacing w:after="80" w:line="264" w:lineRule="auto"/>
      </w:pPr>
      <w:r>
        <w:t>Example: A shift employee who works extra hours to support a critical release must have that extra time documented and approved; informal verbal appreciation is not enough for payroll processing.</w:t>
      </w:r>
    </w:p>
    <w:p>
      <w:pPr>
        <w:spacing w:after="80" w:line="264" w:lineRule="auto"/>
      </w:pPr>
      <w:r>
        <w:t>Example: Logging attendance for a colleague who has not yet arrived is treated as falsification and may lead to disciplinary action.</w:t>
      </w:r>
    </w:p>
    <w:p>
      <w:pPr>
        <w:spacing w:before="120" w:after="40"/>
      </w:pPr>
      <w:r>
        <w:rPr>
          <w:b/>
          <w:color w:val="2C2C2C"/>
          <w:sz w:val="24"/>
        </w:rPr>
        <w:t>Questions and ownership</w:t>
      </w:r>
    </w:p>
    <w:p>
      <w:pPr>
        <w:spacing w:after="80" w:line="264" w:lineRule="auto"/>
      </w:pPr>
      <w:r>
        <w:t>Employees and managers should route questions about this policy to payroll@company.com.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PK-HR-027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