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Compensation Review and Job Level Governance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PK-HR-028</w:t>
            </w:r>
          </w:p>
        </w:tc>
        <w:tc>
          <w:tcPr>
            <w:tcW w:type="dxa" w:w="2376"/>
          </w:tcPr>
          <w:p>
            <w:r>
              <w:rPr>
                <w:rFonts w:ascii="Arial" w:hAnsi="Arial"/>
                <w:sz w:val="18"/>
              </w:rPr>
              <w:t>Pakistan</w:t>
            </w:r>
          </w:p>
        </w:tc>
        <w:tc>
          <w:tcPr>
            <w:tcW w:type="dxa" w:w="2376"/>
          </w:tcPr>
          <w:p>
            <w:r>
              <w:rPr>
                <w:rFonts w:ascii="Arial" w:hAnsi="Arial"/>
                <w:sz w:val="18"/>
              </w:rPr>
              <w:t>Payroll</w:t>
            </w:r>
          </w:p>
        </w:tc>
        <w:tc>
          <w:tcPr>
            <w:tcW w:type="dxa" w:w="2736"/>
          </w:tcPr>
          <w:p>
            <w:r>
              <w:rPr>
                <w:rFonts w:ascii="Arial" w:hAnsi="Arial"/>
                <w:sz w:val="18"/>
              </w:rPr>
              <w:t>payroll@company.com</w:t>
            </w:r>
          </w:p>
        </w:tc>
      </w:tr>
    </w:tbl>
    <w:p/>
    <w:p>
      <w:pPr>
        <w:spacing w:before="120" w:after="40"/>
      </w:pPr>
      <w:r>
        <w:rPr>
          <w:b/>
          <w:color w:val="2C2C2C"/>
          <w:sz w:val="24"/>
        </w:rPr>
        <w:t>Policy summary</w:t>
      </w:r>
    </w:p>
    <w:p>
      <w:pPr>
        <w:spacing w:after="80" w:line="264" w:lineRule="auto"/>
      </w:pPr>
      <w:r>
        <w:t>This document sets the Pakistan standard for compensation review and job level governance. It should be applied consistently across Pakistan operations unless a written exception is approved through the Policy Exception, Approval, and Governance Framework. Related references include PK-HR-006, PK-HR-015, PK-HR-046.</w:t>
      </w:r>
    </w:p>
    <w:p>
      <w:pPr>
        <w:spacing w:before="120" w:after="40"/>
      </w:pPr>
      <w:r>
        <w:rPr>
          <w:b/>
          <w:color w:val="2C2C2C"/>
          <w:sz w:val="24"/>
        </w:rPr>
        <w:t>Compensation governance</w:t>
      </w:r>
    </w:p>
    <w:p>
      <w:pPr>
        <w:spacing w:after="80" w:line="264" w:lineRule="auto"/>
      </w:pPr>
      <w:r>
        <w:t>Compensation decisions are made through structured review rather than informal negotiation alone. Salary levels, increments, promotion-linked adjustments, and job-level placement should reflect role scope, market information, performance, internal equity, and budget approval.</w:t>
      </w:r>
    </w:p>
    <w:p>
      <w:pPr>
        <w:spacing w:after="80" w:line="264" w:lineRule="auto"/>
      </w:pPr>
      <w:r>
        <w:t>The company aims to avoid ad hoc pay decisions that create inconsistency or hidden bias. Managers therefore need to support recommendations with written rationale.</w:t>
      </w:r>
    </w:p>
    <w:p>
      <w:pPr>
        <w:pStyle w:val="ListBullet"/>
        <w:spacing w:after="20"/>
      </w:pPr>
      <w:r>
        <w:t>Annual compensation review timing, budgets, and effective dates are announced centrally.</w:t>
      </w:r>
    </w:p>
    <w:p>
      <w:pPr>
        <w:pStyle w:val="ListBullet"/>
        <w:spacing w:after="20"/>
      </w:pPr>
      <w:r>
        <w:t>Off-cycle adjustments require stronger business justification, such as a role change, retention risk, correction of a material alignment issue, or market repricing approved by leadership.</w:t>
      </w:r>
    </w:p>
    <w:p>
      <w:pPr>
        <w:pStyle w:val="ListBullet"/>
        <w:spacing w:after="20"/>
      </w:pPr>
      <w:r>
        <w:t>Employees may ask questions about salary structure and pay slips, but no manager may promise a future increase before the formal approval is complete.</w:t>
      </w:r>
    </w:p>
    <w:p>
      <w:pPr>
        <w:pStyle w:val="ListBullet"/>
        <w:spacing w:after="20"/>
      </w:pPr>
      <w:r>
        <w:t>Job level changes must go through role and scope review rather than being granted only because tenure increased.</w:t>
      </w:r>
    </w:p>
    <w:p>
      <w:pPr>
        <w:spacing w:before="120" w:after="40"/>
      </w:pPr>
      <w:r>
        <w:rPr>
          <w:b/>
          <w:color w:val="2C2C2C"/>
          <w:sz w:val="24"/>
        </w:rPr>
        <w:t>Examples and practical guidance</w:t>
      </w:r>
    </w:p>
    <w:p>
      <w:pPr>
        <w:spacing w:after="80" w:line="264" w:lineRule="auto"/>
      </w:pPr>
      <w:r>
        <w:t>Example: A team lead requesting a salary adjustment should describe expanded scope, benchmark context, performance evidence, and any internal equity considerations rather than only saying the employee is unhappy.</w:t>
      </w:r>
    </w:p>
    <w:p>
      <w:pPr>
        <w:spacing w:after="80" w:line="264" w:lineRule="auto"/>
      </w:pPr>
      <w:r>
        <w:t>Example: If two employees perform substantially similar work at the same level, the company may review whether pay positioning remains supportable after annual changes.</w:t>
      </w:r>
    </w:p>
    <w:p>
      <w:pPr>
        <w:spacing w:before="120" w:after="40"/>
      </w:pPr>
      <w:r>
        <w:rPr>
          <w:b/>
          <w:color w:val="2C2C2C"/>
          <w:sz w:val="24"/>
        </w:rPr>
        <w:t>Questions and ownership</w:t>
      </w:r>
    </w:p>
    <w:p>
      <w:pPr>
        <w:spacing w:after="80" w:line="264" w:lineRule="auto"/>
      </w:pPr>
      <w:r>
        <w:t>Employees and managers should route questions about this policy to payroll@company.com.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PK-HR-028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