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Background Verification and Pre-Employment Checks</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PK-HR-032</w:t>
            </w:r>
          </w:p>
        </w:tc>
        <w:tc>
          <w:tcPr>
            <w:tcW w:type="dxa" w:w="2376"/>
          </w:tcPr>
          <w:p>
            <w:r>
              <w:rPr>
                <w:rFonts w:ascii="Arial" w:hAnsi="Arial"/>
                <w:sz w:val="18"/>
              </w:rPr>
              <w:t>Pakistan</w:t>
            </w:r>
          </w:p>
        </w:tc>
        <w:tc>
          <w:tcPr>
            <w:tcW w:type="dxa" w:w="2376"/>
          </w:tcPr>
          <w:p>
            <w:r>
              <w:rPr>
                <w:rFonts w:ascii="Arial" w:hAnsi="Arial"/>
                <w:sz w:val="18"/>
              </w:rPr>
              <w:t>Recruitment</w:t>
            </w:r>
          </w:p>
        </w:tc>
        <w:tc>
          <w:tcPr>
            <w:tcW w:type="dxa" w:w="2736"/>
          </w:tcPr>
          <w:p>
            <w:r>
              <w:rPr>
                <w:rFonts w:ascii="Arial" w:hAnsi="Arial"/>
                <w:sz w:val="18"/>
              </w:rPr>
              <w:t>recruitment@company.com</w:t>
            </w:r>
          </w:p>
        </w:tc>
      </w:tr>
    </w:tbl>
    <w:p/>
    <w:p>
      <w:pPr>
        <w:spacing w:before="120" w:after="40"/>
      </w:pPr>
      <w:r>
        <w:rPr>
          <w:b/>
          <w:color w:val="2C2C2C"/>
          <w:sz w:val="24"/>
        </w:rPr>
        <w:t>Policy summary</w:t>
      </w:r>
    </w:p>
    <w:p>
      <w:pPr>
        <w:spacing w:after="80" w:line="264" w:lineRule="auto"/>
      </w:pPr>
      <w:r>
        <w:t>This document sets the Pakistan standard for background verification and pre-employment checks. It should be applied consistently across Pakistan operations unless a written exception is approved through the Policy Exception, Approval, and Governance Framework. Related references include PK-HR-029, PK-HR-030, PK-HR-033.</w:t>
      </w:r>
    </w:p>
    <w:p>
      <w:pPr>
        <w:spacing w:before="120" w:after="40"/>
      </w:pPr>
      <w:r>
        <w:rPr>
          <w:b/>
          <w:color w:val="2C2C2C"/>
          <w:sz w:val="24"/>
        </w:rPr>
        <w:t>Verification scope</w:t>
      </w:r>
    </w:p>
    <w:p>
      <w:pPr>
        <w:spacing w:after="80" w:line="264" w:lineRule="auto"/>
      </w:pPr>
      <w:r>
        <w:t>Background verification helps confirm identity, qualification, and employment history before onboarding is finalized. The company will request only those checks that are relevant, lawful, and proportionate for the role, and it will obtain candidate consent where required.</w:t>
      </w:r>
    </w:p>
    <w:p>
      <w:pPr>
        <w:spacing w:after="80" w:line="264" w:lineRule="auto"/>
      </w:pPr>
      <w:r>
        <w:t>In Pakistan, common checks may include identity verification using CNIC or NICOP details, education verification, employment references, and other pre-employment checks appropriate to the role.</w:t>
      </w:r>
    </w:p>
    <w:p>
      <w:pPr>
        <w:pStyle w:val="ListBullet"/>
        <w:spacing w:after="20"/>
      </w:pPr>
      <w:r>
        <w:t>Candidates must provide accurate information and respond promptly to verification queries. Concealment or material misrepresentation may lead to withdrawal of the offer or corrective action if discovered after joining.</w:t>
      </w:r>
    </w:p>
    <w:p>
      <w:pPr>
        <w:pStyle w:val="ListBullet"/>
        <w:spacing w:after="20"/>
      </w:pPr>
      <w:r>
        <w:t>Some checks may be completed before joining, while others may continue after the start date where business need requires an early start and the risk is manageable.</w:t>
      </w:r>
    </w:p>
    <w:p>
      <w:pPr>
        <w:pStyle w:val="ListBullet"/>
        <w:spacing w:after="20"/>
      </w:pPr>
      <w:r>
        <w:t>Roles involving finance, sensitive data, regulated clients, or high-trust access may require additional checks with appropriate notice.</w:t>
      </w:r>
    </w:p>
    <w:p>
      <w:pPr>
        <w:pStyle w:val="ListBullet"/>
        <w:spacing w:after="20"/>
      </w:pPr>
      <w:r>
        <w:t>Verification records should be handled confidentially and retained only as necessary.</w:t>
      </w:r>
    </w:p>
    <w:p>
      <w:pPr>
        <w:spacing w:before="120" w:after="40"/>
      </w:pPr>
      <w:r>
        <w:rPr>
          <w:b/>
          <w:color w:val="2C2C2C"/>
          <w:sz w:val="24"/>
        </w:rPr>
        <w:t>Examples and practical guidance</w:t>
      </w:r>
    </w:p>
    <w:p>
      <w:pPr>
        <w:spacing w:after="80" w:line="264" w:lineRule="auto"/>
      </w:pPr>
      <w:r>
        <w:t>Example: A candidate may be asked to provide CNIC, academic documents, prior employment letters, and two professional references before the joining date.</w:t>
      </w:r>
    </w:p>
    <w:p>
      <w:pPr>
        <w:spacing w:after="80" w:line="264" w:lineRule="auto"/>
      </w:pPr>
      <w:r>
        <w:t>Example: If one employment reference is delayed but other core checks are clear, the company may decide whether onboarding can proceed subject to a pending item.</w:t>
      </w:r>
    </w:p>
    <w:p>
      <w:pPr>
        <w:spacing w:before="120" w:after="40"/>
      </w:pPr>
      <w:r>
        <w:rPr>
          <w:b/>
          <w:color w:val="2C2C2C"/>
          <w:sz w:val="24"/>
        </w:rPr>
        <w:t>Questions and ownership</w:t>
      </w:r>
    </w:p>
    <w:p>
      <w:pPr>
        <w:spacing w:after="80" w:line="264" w:lineRule="auto"/>
      </w:pPr>
      <w:r>
        <w:t>Employees and managers should route questions about this policy to recruitment@company.com.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PK-HR-032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