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Hybrid Work Coordination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PK-HR-037</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hybrid work coordination policy. It should be applied consistently across Pakistan operations unless a written exception is approved through the Policy Exception, Approval, and Governance Framework. Related references include PK-HR-036, PK-HR-038, PK-HR-049.</w:t>
      </w:r>
    </w:p>
    <w:p>
      <w:pPr>
        <w:spacing w:before="120" w:after="40"/>
      </w:pPr>
      <w:r>
        <w:rPr>
          <w:b/>
          <w:color w:val="2C2C2C"/>
          <w:sz w:val="24"/>
        </w:rPr>
        <w:t>Hybrid coordination</w:t>
      </w:r>
    </w:p>
    <w:p>
      <w:pPr>
        <w:spacing w:after="80" w:line="264" w:lineRule="auto"/>
      </w:pPr>
      <w:r>
        <w:t>Hybrid work arrangements combine office attendance and remote work in a planned way. The goal is to capture the benefits of in-person collaboration without losing flexibility for focused work and personal logistics. Hybrid schedules should be aligned to business outcomes, not left entirely to ad hoc personal preference.</w:t>
      </w:r>
    </w:p>
    <w:p>
      <w:pPr>
        <w:spacing w:after="80" w:line="264" w:lineRule="auto"/>
      </w:pPr>
      <w:r>
        <w:t>Teams may have different hybrid patterns depending on role, client commitments, facility capacity, and the need for collaboration.</w:t>
      </w:r>
    </w:p>
    <w:p>
      <w:pPr>
        <w:pStyle w:val="ListBullet"/>
        <w:spacing w:after="20"/>
      </w:pPr>
      <w:r>
        <w:t>Managers should communicate team expectations on collaboration days, core meetings, and exceptions for travel, medical needs, or business peaks.</w:t>
      </w:r>
    </w:p>
    <w:p>
      <w:pPr>
        <w:pStyle w:val="ListBullet"/>
        <w:spacing w:after="20"/>
      </w:pPr>
      <w:r>
        <w:t>Employees should plan their office days so that training, onboarding support, and stakeholder meetings are effective rather than fragmented.</w:t>
      </w:r>
    </w:p>
    <w:p>
      <w:pPr>
        <w:pStyle w:val="ListBullet"/>
        <w:spacing w:after="20"/>
      </w:pPr>
      <w:r>
        <w:t>Repeated non-compliance with a published hybrid schedule may be treated as an attendance issue unless an approved exception exists.</w:t>
      </w:r>
    </w:p>
    <w:p>
      <w:pPr>
        <w:pStyle w:val="ListBullet"/>
        <w:spacing w:after="20"/>
      </w:pPr>
      <w:r>
        <w:t>Hybrid arrangements should be reviewed if they create handoff delays, client complaints, or supervision gaps.</w:t>
      </w:r>
    </w:p>
    <w:p>
      <w:pPr>
        <w:spacing w:before="120" w:after="40"/>
      </w:pPr>
      <w:r>
        <w:rPr>
          <w:b/>
          <w:color w:val="2C2C2C"/>
          <w:sz w:val="24"/>
        </w:rPr>
        <w:t>Examples and practical guidance</w:t>
      </w:r>
    </w:p>
    <w:p>
      <w:pPr>
        <w:spacing w:after="80" w:line="264" w:lineRule="auto"/>
      </w:pPr>
      <w:r>
        <w:t>Example: A team may set two common office days for planning, one-on-ones, and training, while allowing other days to be managed flexibly.</w:t>
      </w:r>
    </w:p>
    <w:p>
      <w:pPr>
        <w:spacing w:after="80" w:line="264" w:lineRule="auto"/>
      </w:pPr>
      <w:r>
        <w:t>Example: A new joiner may be asked to attend office more frequently in the first weeks for role assimilation and access setup.</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PK-HR-037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