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IT Access, Identity, and Acceptable Use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PK-HR-039</w:t>
            </w:r>
          </w:p>
        </w:tc>
        <w:tc>
          <w:tcPr>
            <w:tcW w:type="dxa" w:w="2376"/>
          </w:tcPr>
          <w:p>
            <w:r>
              <w:rPr>
                <w:rFonts w:ascii="Arial" w:hAnsi="Arial"/>
                <w:sz w:val="18"/>
              </w:rPr>
              <w:t>Pakistan</w:t>
            </w:r>
          </w:p>
        </w:tc>
        <w:tc>
          <w:tcPr>
            <w:tcW w:type="dxa" w:w="2376"/>
          </w:tcPr>
          <w:p>
            <w:r>
              <w:rPr>
                <w:rFonts w:ascii="Arial" w:hAnsi="Arial"/>
                <w:sz w:val="18"/>
              </w:rPr>
              <w:t>IT Support</w:t>
            </w:r>
          </w:p>
        </w:tc>
        <w:tc>
          <w:tcPr>
            <w:tcW w:type="dxa" w:w="2736"/>
          </w:tcPr>
          <w:p>
            <w:r>
              <w:rPr>
                <w:rFonts w:ascii="Arial" w:hAnsi="Arial"/>
                <w:sz w:val="18"/>
              </w:rPr>
              <w:t>itsupport@company.com</w:t>
            </w:r>
          </w:p>
        </w:tc>
      </w:tr>
    </w:tbl>
    <w:p/>
    <w:p>
      <w:pPr>
        <w:spacing w:before="120" w:after="40"/>
      </w:pPr>
      <w:r>
        <w:rPr>
          <w:b/>
          <w:color w:val="2C2C2C"/>
          <w:sz w:val="24"/>
        </w:rPr>
        <w:t>Policy summary</w:t>
      </w:r>
    </w:p>
    <w:p>
      <w:pPr>
        <w:spacing w:after="80" w:line="264" w:lineRule="auto"/>
      </w:pPr>
      <w:r>
        <w:t>This document sets the Pakistan standard for it access, identity, and acceptable use policy. It should be applied consistently across Pakistan operations unless a written exception is approved through the Policy Exception, Approval, and Governance Framework. Related references include PK-HR-034, PK-HR-036, PK-HR-040, PK-HR-047.</w:t>
      </w:r>
    </w:p>
    <w:p>
      <w:pPr>
        <w:spacing w:before="120" w:after="40"/>
      </w:pPr>
      <w:r>
        <w:rPr>
          <w:b/>
          <w:color w:val="2C2C2C"/>
          <w:sz w:val="24"/>
        </w:rPr>
        <w:t>Acceptable use</w:t>
      </w:r>
    </w:p>
    <w:p>
      <w:pPr>
        <w:spacing w:after="80" w:line="264" w:lineRule="auto"/>
      </w:pPr>
      <w:r>
        <w:t>IT access is granted for business purposes and must be used in line with security, confidentiality, and company conduct standards. Each employee is responsible for protecting credentials, devices, and company data from misuse, theft, or unauthorized disclosure.</w:t>
      </w:r>
    </w:p>
    <w:p>
      <w:pPr>
        <w:spacing w:after="80" w:line="264" w:lineRule="auto"/>
      </w:pPr>
      <w:r>
        <w:t>Access rights are assigned based on role need and may be changed when an employee joins, transfers, goes on leave, or exits.</w:t>
      </w:r>
    </w:p>
    <w:p>
      <w:pPr>
        <w:pStyle w:val="ListBullet"/>
        <w:spacing w:after="20"/>
      </w:pPr>
      <w:r>
        <w:t>Employees must not share passwords, MFA codes, or access tokens with any person, including colleagues or vendors.</w:t>
      </w:r>
    </w:p>
    <w:p>
      <w:pPr>
        <w:pStyle w:val="ListBullet"/>
        <w:spacing w:after="20"/>
      </w:pPr>
      <w:r>
        <w:t>Only approved software, storage, and collaboration tools may be used for company information.</w:t>
      </w:r>
    </w:p>
    <w:p>
      <w:pPr>
        <w:pStyle w:val="ListBullet"/>
        <w:spacing w:after="20"/>
      </w:pPr>
      <w:r>
        <w:t>High-risk activities such as downloading pirated software, using unknown USB devices, or forwarding company files to personal email are prohibited.</w:t>
      </w:r>
    </w:p>
    <w:p>
      <w:pPr>
        <w:pStyle w:val="ListBullet"/>
        <w:spacing w:after="20"/>
      </w:pPr>
      <w:r>
        <w:t>Lost devices, suspicious logins, and access issues should be reported immediately to itsupport@company.com.</w:t>
      </w:r>
    </w:p>
    <w:p>
      <w:pPr>
        <w:spacing w:before="120" w:after="40"/>
      </w:pPr>
      <w:r>
        <w:rPr>
          <w:b/>
          <w:color w:val="2C2C2C"/>
          <w:sz w:val="24"/>
        </w:rPr>
        <w:t>Examples and practical guidance</w:t>
      </w:r>
    </w:p>
    <w:p>
      <w:pPr>
        <w:spacing w:after="80" w:line="264" w:lineRule="auto"/>
      </w:pPr>
      <w:r>
        <w:t>Example: If a manager needs a report urgently, an employee must not hand over credentials; the manager should request appropriate system access or ask IT Support for help.</w:t>
      </w:r>
    </w:p>
    <w:p>
      <w:pPr>
        <w:spacing w:after="80" w:line="264" w:lineRule="auto"/>
      </w:pPr>
      <w:r>
        <w:t>Example: An employee working remotely should lock the screen when away and avoid taking confidential calls in public places without privacy controls.</w:t>
      </w:r>
    </w:p>
    <w:p>
      <w:pPr>
        <w:spacing w:before="120" w:after="40"/>
      </w:pPr>
      <w:r>
        <w:rPr>
          <w:b/>
          <w:color w:val="2C2C2C"/>
          <w:sz w:val="24"/>
        </w:rPr>
        <w:t>Questions and ownership</w:t>
      </w:r>
    </w:p>
    <w:p>
      <w:pPr>
        <w:spacing w:after="80" w:line="264" w:lineRule="auto"/>
      </w:pPr>
      <w:r>
        <w:t>Employees and managers should route questions about this policy to itsupport@company.com.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PK-HR-039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