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C3F72"/>
          <w:sz w:val="36"/>
        </w:rPr>
        <w:t>Performance Improvement and Corrective Action Policy</w:t>
      </w:r>
    </w:p>
    <w:p>
      <w:pPr>
        <w:jc w:val="left"/>
      </w:pPr>
      <w:r>
        <w:rPr>
          <w:i/>
          <w:color w:val="606060"/>
          <w:sz w:val="21"/>
        </w:rPr>
        <w:t>Pakistan Employee Policy</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376"/>
            <w:shd w:fill="D9E6F2"/>
          </w:tcPr>
          <w:p>
            <w:r>
              <w:rPr>
                <w:rFonts w:ascii="Arial" w:hAnsi="Arial"/>
                <w:b/>
                <w:sz w:val="18"/>
              </w:rPr>
              <w:t>Document ID</w:t>
            </w:r>
          </w:p>
        </w:tc>
        <w:tc>
          <w:tcPr>
            <w:tcW w:type="dxa" w:w="2376"/>
            <w:shd w:fill="D9E6F2"/>
          </w:tcPr>
          <w:p>
            <w:r>
              <w:rPr>
                <w:rFonts w:ascii="Arial" w:hAnsi="Arial"/>
                <w:b/>
                <w:sz w:val="18"/>
              </w:rPr>
              <w:t>Country</w:t>
            </w:r>
          </w:p>
        </w:tc>
        <w:tc>
          <w:tcPr>
            <w:tcW w:type="dxa" w:w="2376"/>
            <w:shd w:fill="D9E6F2"/>
          </w:tcPr>
          <w:p>
            <w:r>
              <w:rPr>
                <w:rFonts w:ascii="Arial" w:hAnsi="Arial"/>
                <w:b/>
                <w:sz w:val="18"/>
              </w:rPr>
              <w:t>Owning Team</w:t>
            </w:r>
          </w:p>
        </w:tc>
        <w:tc>
          <w:tcPr>
            <w:tcW w:type="dxa" w:w="2736"/>
            <w:shd w:fill="D9E6F2"/>
          </w:tcPr>
          <w:p>
            <w:r>
              <w:rPr>
                <w:rFonts w:ascii="Arial" w:hAnsi="Arial"/>
                <w:b/>
                <w:sz w:val="18"/>
              </w:rPr>
              <w:t>Primary Contact</w:t>
            </w:r>
          </w:p>
        </w:tc>
      </w:tr>
      <w:tr>
        <w:tc>
          <w:tcPr>
            <w:tcW w:type="dxa" w:w="2376"/>
          </w:tcPr>
          <w:p>
            <w:r>
              <w:rPr>
                <w:rFonts w:ascii="Arial" w:hAnsi="Arial"/>
                <w:sz w:val="18"/>
              </w:rPr>
              <w:t>PK-HR-043</w:t>
            </w:r>
          </w:p>
        </w:tc>
        <w:tc>
          <w:tcPr>
            <w:tcW w:type="dxa" w:w="2376"/>
          </w:tcPr>
          <w:p>
            <w:r>
              <w:rPr>
                <w:rFonts w:ascii="Arial" w:hAnsi="Arial"/>
                <w:sz w:val="18"/>
              </w:rPr>
              <w:t>Pakistan</w:t>
            </w:r>
          </w:p>
        </w:tc>
        <w:tc>
          <w:tcPr>
            <w:tcW w:type="dxa" w:w="2376"/>
          </w:tcPr>
          <w:p>
            <w:r>
              <w:rPr>
                <w:rFonts w:ascii="Arial" w:hAnsi="Arial"/>
                <w:sz w:val="18"/>
              </w:rPr>
              <w:t>People Team</w:t>
            </w:r>
          </w:p>
        </w:tc>
        <w:tc>
          <w:tcPr>
            <w:tcW w:type="dxa" w:w="2736"/>
          </w:tcPr>
          <w:p>
            <w:r>
              <w:rPr>
                <w:rFonts w:ascii="Arial" w:hAnsi="Arial"/>
                <w:sz w:val="18"/>
              </w:rPr>
              <w:t>peopleteam@company.com</w:t>
            </w:r>
          </w:p>
        </w:tc>
      </w:tr>
    </w:tbl>
    <w:p/>
    <w:p>
      <w:pPr>
        <w:spacing w:before="120" w:after="40"/>
      </w:pPr>
      <w:r>
        <w:rPr>
          <w:b/>
          <w:color w:val="2C2C2C"/>
          <w:sz w:val="24"/>
        </w:rPr>
        <w:t>Policy summary</w:t>
      </w:r>
    </w:p>
    <w:p>
      <w:pPr>
        <w:spacing w:after="80" w:line="264" w:lineRule="auto"/>
      </w:pPr>
      <w:r>
        <w:t>This document sets the Pakistan standard for performance improvement and corrective action policy. It should be applied consistently across Pakistan operations unless a written exception is approved through the Policy Exception, Approval, and Governance Framework. Related references include PK-HR-001, PK-HR-003, PK-HR-004, PK-HR-042.</w:t>
      </w:r>
    </w:p>
    <w:p>
      <w:pPr>
        <w:spacing w:before="120" w:after="40"/>
      </w:pPr>
      <w:r>
        <w:rPr>
          <w:b/>
          <w:color w:val="2C2C2C"/>
          <w:sz w:val="24"/>
        </w:rPr>
        <w:t>Corrective action</w:t>
      </w:r>
    </w:p>
    <w:p>
      <w:pPr>
        <w:spacing w:after="80" w:line="264" w:lineRule="auto"/>
      </w:pPr>
      <w:r>
        <w:t>Performance improvement and corrective action are intended to address problems early, clearly, and fairly. The company prefers coaching and documented guidance before problems become severe, but it may take stronger action immediately for serious misconduct, dishonesty, safety breaches, harassment, or deliberate misuse of systems.</w:t>
      </w:r>
    </w:p>
    <w:p>
      <w:pPr>
        <w:spacing w:after="80" w:line="264" w:lineRule="auto"/>
      </w:pPr>
      <w:r>
        <w:t>Corrective action should distinguish between skill gaps, workload constraints, attendance issues, and misconduct because the right response differs for each.</w:t>
      </w:r>
    </w:p>
    <w:p>
      <w:pPr>
        <w:pStyle w:val="ListBullet"/>
        <w:spacing w:after="20"/>
      </w:pPr>
      <w:r>
        <w:t>Managers should describe the issue with examples, state the expected standard, and give the employee a reasonable opportunity to improve where appropriate.</w:t>
      </w:r>
    </w:p>
    <w:p>
      <w:pPr>
        <w:pStyle w:val="ListBullet"/>
        <w:spacing w:after="20"/>
      </w:pPr>
      <w:r>
        <w:t>A formal performance improvement plan may run for 30 to 60 days depending on role complexity and the nature of the gap.</w:t>
      </w:r>
    </w:p>
    <w:p>
      <w:pPr>
        <w:pStyle w:val="ListBullet"/>
        <w:spacing w:after="20"/>
      </w:pPr>
      <w:r>
        <w:t>Employees are expected to engage constructively with the plan, attend review meetings, and complete agreed actions.</w:t>
      </w:r>
    </w:p>
    <w:p>
      <w:pPr>
        <w:pStyle w:val="ListBullet"/>
        <w:spacing w:after="20"/>
      </w:pPr>
      <w:r>
        <w:t>Failure to improve, repeated misconduct, or serious single incidents may lead to further disciplinary action up to separation.</w:t>
      </w:r>
    </w:p>
    <w:p>
      <w:pPr>
        <w:spacing w:before="120" w:after="40"/>
      </w:pPr>
      <w:r>
        <w:rPr>
          <w:b/>
          <w:color w:val="2C2C2C"/>
          <w:sz w:val="24"/>
        </w:rPr>
        <w:t>Examples and practical guidance</w:t>
      </w:r>
    </w:p>
    <w:p>
      <w:pPr>
        <w:spacing w:after="80" w:line="264" w:lineRule="auto"/>
      </w:pPr>
      <w:r>
        <w:t>Example: Repeated attendance irregularities despite coaching may move from verbal guidance to formal written action if the pattern continues.</w:t>
      </w:r>
    </w:p>
    <w:p>
      <w:pPr>
        <w:spacing w:after="80" w:line="264" w:lineRule="auto"/>
      </w:pPr>
      <w:r>
        <w:t>Example: Deliberately falsifying reimbursement receipts may result in immediate serious disciplinary review without a performance-improvement stage.</w:t>
      </w:r>
    </w:p>
    <w:p>
      <w:pPr>
        <w:spacing w:before="120" w:after="40"/>
      </w:pPr>
      <w:r>
        <w:rPr>
          <w:b/>
          <w:color w:val="2C2C2C"/>
          <w:sz w:val="24"/>
        </w:rPr>
        <w:t>Questions and ownership</w:t>
      </w:r>
    </w:p>
    <w:p>
      <w:pPr>
        <w:spacing w:after="80" w:line="264" w:lineRule="auto"/>
      </w:pPr>
      <w:r>
        <w:t>Employees and managers should route questions about this policy to peopleteam@company.com. Where an issue also involves payroll, benefits, recruitment, onboarding, compliance, talent development, or IT access, the receiving team may coordinate with the relevant function before confirming the final response.</w:t>
      </w:r>
    </w:p>
    <w:p>
      <w:pPr>
        <w:spacing w:after="80" w:line="264" w:lineRule="auto"/>
      </w:pPr>
      <w:r>
        <w:t>This policy may be updated from time to time to reflect business requirements, vendor changes, process improvements, or applicable legal considerations. Employees are expected to follow the latest approved version circulated by the company.</w:t>
      </w:r>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PK-HR-043 | Pakistan</w:t>
    </w:r>
  </w:p>
  <w:p>
    <w:pP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