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Internal Mobility and Role Change Procedure</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PK-HR-044</w:t>
            </w:r>
          </w:p>
        </w:tc>
        <w:tc>
          <w:tcPr>
            <w:tcW w:type="dxa" w:w="2376"/>
          </w:tcPr>
          <w:p>
            <w:r>
              <w:rPr>
                <w:rFonts w:ascii="Arial" w:hAnsi="Arial"/>
                <w:sz w:val="18"/>
              </w:rPr>
              <w:t>Pakistan</w:t>
            </w:r>
          </w:p>
        </w:tc>
        <w:tc>
          <w:tcPr>
            <w:tcW w:type="dxa" w:w="2376"/>
          </w:tcPr>
          <w:p>
            <w:r>
              <w:rPr>
                <w:rFonts w:ascii="Arial" w:hAnsi="Arial"/>
                <w:sz w:val="18"/>
              </w:rPr>
              <w:t>Talent Development</w:t>
            </w:r>
          </w:p>
        </w:tc>
        <w:tc>
          <w:tcPr>
            <w:tcW w:type="dxa" w:w="2736"/>
          </w:tcPr>
          <w:p>
            <w:r>
              <w:rPr>
                <w:rFonts w:ascii="Arial" w:hAnsi="Arial"/>
                <w:sz w:val="18"/>
              </w:rPr>
              <w:t>talentdevelopment@company.com</w:t>
            </w:r>
          </w:p>
        </w:tc>
      </w:tr>
    </w:tbl>
    <w:p/>
    <w:p>
      <w:pPr>
        <w:spacing w:before="120" w:after="40"/>
      </w:pPr>
      <w:r>
        <w:rPr>
          <w:b/>
          <w:color w:val="2C2C2C"/>
          <w:sz w:val="24"/>
        </w:rPr>
        <w:t>Policy summary</w:t>
      </w:r>
    </w:p>
    <w:p>
      <w:pPr>
        <w:spacing w:after="80" w:line="264" w:lineRule="auto"/>
      </w:pPr>
      <w:r>
        <w:t>This document sets the Pakistan standard for internal mobility and role change procedure. It should be applied consistently across Pakistan operations unless a written exception is approved through the Policy Exception, Approval, and Governance Framework. Related references include PK-HR-028, PK-HR-034, PK-HR-035, PK-HR-045.</w:t>
      </w:r>
    </w:p>
    <w:p>
      <w:pPr>
        <w:spacing w:before="120" w:after="40"/>
      </w:pPr>
      <w:r>
        <w:rPr>
          <w:b/>
          <w:color w:val="2C2C2C"/>
          <w:sz w:val="24"/>
        </w:rPr>
        <w:t>Mobility process</w:t>
      </w:r>
    </w:p>
    <w:p>
      <w:pPr>
        <w:spacing w:after="80" w:line="264" w:lineRule="auto"/>
      </w:pPr>
      <w:r>
        <w:t>Internal mobility allows employees to apply for open roles, project assignments, and career progression opportunities within the company. The company supports internal movement because it helps retain talent and deepen institutional knowledge, but movement must be managed in a way that protects delivery commitments and fairness across applicants.</w:t>
      </w:r>
    </w:p>
    <w:p>
      <w:pPr>
        <w:spacing w:after="80" w:line="264" w:lineRule="auto"/>
      </w:pPr>
      <w:r>
        <w:t>Employees are encouraged to discuss career goals openly and use formal processes rather than negotiating hidden transfers through personal networks.</w:t>
      </w:r>
    </w:p>
    <w:p>
      <w:pPr>
        <w:pStyle w:val="ListBullet"/>
        <w:spacing w:after="20"/>
      </w:pPr>
      <w:r>
        <w:t>As a general guideline, employees should complete at least 12 months in the current role in their current role before seeking a move, unless a business exception is approved.</w:t>
      </w:r>
    </w:p>
    <w:p>
      <w:pPr>
        <w:pStyle w:val="ListBullet"/>
        <w:spacing w:after="20"/>
      </w:pPr>
      <w:r>
        <w:t>Both the receiving team and the current manager should coordinate timelines for release, handover, and access changes.</w:t>
      </w:r>
    </w:p>
    <w:p>
      <w:pPr>
        <w:pStyle w:val="ListBullet"/>
        <w:spacing w:after="20"/>
      </w:pPr>
      <w:r>
        <w:t>Internal applicants may still need to complete interviews or assessments where relevant to the new role.</w:t>
      </w:r>
    </w:p>
    <w:p>
      <w:pPr>
        <w:pStyle w:val="ListBullet"/>
        <w:spacing w:after="20"/>
      </w:pPr>
      <w:r>
        <w:t>Changes in title, grade, location, or pay require approval through the proper governance route.</w:t>
      </w:r>
    </w:p>
    <w:p>
      <w:pPr>
        <w:spacing w:before="120" w:after="40"/>
      </w:pPr>
      <w:r>
        <w:rPr>
          <w:b/>
          <w:color w:val="2C2C2C"/>
          <w:sz w:val="24"/>
        </w:rPr>
        <w:t>Examples and practical guidance</w:t>
      </w:r>
    </w:p>
    <w:p>
      <w:pPr>
        <w:spacing w:after="80" w:line="264" w:lineRule="auto"/>
      </w:pPr>
      <w:r>
        <w:t>Example: An employee who wants to move from support to analytics should speak with Talent Development and apply through the posted internal opportunity instead of relying on an informal promise.</w:t>
      </w:r>
    </w:p>
    <w:p>
      <w:pPr>
        <w:spacing w:after="80" w:line="264" w:lineRule="auto"/>
      </w:pPr>
      <w:r>
        <w:t>Example: A business-critical team may request a delayed release date to complete a project handover, but it should not block movement indefinitely without a clear reason.</w:t>
      </w:r>
    </w:p>
    <w:p>
      <w:pPr>
        <w:spacing w:before="120" w:after="40"/>
      </w:pPr>
      <w:r>
        <w:rPr>
          <w:b/>
          <w:color w:val="2C2C2C"/>
          <w:sz w:val="24"/>
        </w:rPr>
        <w:t>Questions and ownership</w:t>
      </w:r>
    </w:p>
    <w:p>
      <w:pPr>
        <w:spacing w:after="80" w:line="264" w:lineRule="auto"/>
      </w:pPr>
      <w:r>
        <w:t>Employees and managers should route questions about this policy to talentdevelopment@company.com.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PK-HR-044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