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Data Scientist</w:t>
      </w:r>
    </w:p>
    <w:p>
      <w:pPr>
        <w:pStyle w:val="DocSubtitle"/>
      </w:pPr>
      <w:r>
        <w:t>Pakistan | Job family: Data Science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Data Scientist job family. It covers exploratory analysis, experimentation, model development, deployment readiness, and the increasing need to connect scientific work to measurable business outcomes.</w:t>
      </w:r>
    </w:p>
    <w:p>
      <w:pPr>
        <w:pStyle w:val="Compact"/>
      </w:pPr>
      <w:r>
        <w:rPr>
          <w:b/>
        </w:rPr>
        <w:t xml:space="preserve">Country context. </w:t>
      </w:r>
      <w:r>
        <w:t>Career growth in Pakistan often rewards reliable execution, strong documentation, and proactive collaboration in distributed teams. Employees are expected to raise risks early, maintain delivery discipline, and build trust through consistency and accountability.</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DS1</w:t>
            </w:r>
          </w:p>
        </w:tc>
        <w:tc>
          <w:tcPr>
            <w:tcW w:type="dxa" w:w="2376"/>
            <w:tcMar>
              <w:top w:w="90" w:type="dxa"/>
              <w:start w:w="100" w:type="dxa"/>
              <w:bottom w:w="90" w:type="dxa"/>
              <w:end w:w="100" w:type="dxa"/>
            </w:tcMar>
            <w:vAlign w:val="center"/>
          </w:tcPr>
          <w:p>
            <w:pPr>
              <w:jc w:val="left"/>
            </w:pPr>
            <w:r>
              <w:rPr>
                <w:sz w:val="18"/>
              </w:rPr>
              <w:t>Data Scientist I</w:t>
            </w:r>
          </w:p>
        </w:tc>
        <w:tc>
          <w:tcPr>
            <w:tcW w:type="dxa" w:w="3528"/>
            <w:tcMar>
              <w:top w:w="90" w:type="dxa"/>
              <w:start w:w="100" w:type="dxa"/>
              <w:bottom w:w="90" w:type="dxa"/>
              <w:end w:w="100" w:type="dxa"/>
            </w:tcMar>
            <w:vAlign w:val="center"/>
          </w:tcPr>
          <w:p>
            <w:pPr>
              <w:jc w:val="left"/>
            </w:pPr>
            <w:r>
              <w:rPr>
                <w:sz w:val="18"/>
              </w:rPr>
              <w:t>Builds exploratory analyses and simple models with defined support.</w:t>
            </w:r>
          </w:p>
        </w:tc>
        <w:tc>
          <w:tcPr>
            <w:tcW w:type="dxa" w:w="2880"/>
            <w:tcMar>
              <w:top w:w="90" w:type="dxa"/>
              <w:start w:w="100" w:type="dxa"/>
              <w:bottom w:w="90" w:type="dxa"/>
              <w:end w:w="100" w:type="dxa"/>
            </w:tcMar>
            <w:vAlign w:val="center"/>
          </w:tcPr>
          <w:p>
            <w:pPr>
              <w:jc w:val="left"/>
            </w:pPr>
            <w:r>
              <w:rPr>
                <w:sz w:val="18"/>
              </w:rPr>
              <w:t>Executes reproducible experiments and documents assumptions clearly.</w:t>
            </w:r>
          </w:p>
        </w:tc>
      </w:tr>
      <w:tr>
        <w:tc>
          <w:tcPr>
            <w:tcW w:type="dxa" w:w="1080"/>
            <w:tcMar>
              <w:top w:w="90" w:type="dxa"/>
              <w:start w:w="100" w:type="dxa"/>
              <w:bottom w:w="90" w:type="dxa"/>
              <w:end w:w="100" w:type="dxa"/>
            </w:tcMar>
            <w:vAlign w:val="center"/>
          </w:tcPr>
          <w:p>
            <w:pPr>
              <w:jc w:val="center"/>
            </w:pPr>
            <w:r>
              <w:rPr>
                <w:sz w:val="18"/>
              </w:rPr>
              <w:t>DS2</w:t>
            </w:r>
          </w:p>
        </w:tc>
        <w:tc>
          <w:tcPr>
            <w:tcW w:type="dxa" w:w="2376"/>
            <w:tcMar>
              <w:top w:w="90" w:type="dxa"/>
              <w:start w:w="100" w:type="dxa"/>
              <w:bottom w:w="90" w:type="dxa"/>
              <w:end w:w="100" w:type="dxa"/>
            </w:tcMar>
            <w:vAlign w:val="center"/>
          </w:tcPr>
          <w:p>
            <w:pPr>
              <w:jc w:val="left"/>
            </w:pPr>
            <w:r>
              <w:rPr>
                <w:sz w:val="18"/>
              </w:rPr>
              <w:t>Data Scientist II</w:t>
            </w:r>
          </w:p>
        </w:tc>
        <w:tc>
          <w:tcPr>
            <w:tcW w:type="dxa" w:w="3528"/>
            <w:tcMar>
              <w:top w:w="90" w:type="dxa"/>
              <w:start w:w="100" w:type="dxa"/>
              <w:bottom w:w="90" w:type="dxa"/>
              <w:end w:w="100" w:type="dxa"/>
            </w:tcMar>
            <w:vAlign w:val="center"/>
          </w:tcPr>
          <w:p>
            <w:pPr>
              <w:jc w:val="left"/>
            </w:pPr>
            <w:r>
              <w:rPr>
                <w:sz w:val="18"/>
              </w:rPr>
              <w:t>Owns model features, experiment design, and impact measurement for a team.</w:t>
            </w:r>
          </w:p>
        </w:tc>
        <w:tc>
          <w:tcPr>
            <w:tcW w:type="dxa" w:w="2880"/>
            <w:tcMar>
              <w:top w:w="90" w:type="dxa"/>
              <w:start w:w="100" w:type="dxa"/>
              <w:bottom w:w="90" w:type="dxa"/>
              <w:end w:w="100" w:type="dxa"/>
            </w:tcMar>
            <w:vAlign w:val="center"/>
          </w:tcPr>
          <w:p>
            <w:pPr>
              <w:jc w:val="left"/>
            </w:pPr>
            <w:r>
              <w:rPr>
                <w:sz w:val="18"/>
              </w:rPr>
              <w:t>Connects statistical methods to business decisions and operational outcomes.</w:t>
            </w:r>
          </w:p>
        </w:tc>
      </w:tr>
      <w:tr>
        <w:tc>
          <w:tcPr>
            <w:tcW w:type="dxa" w:w="1080"/>
            <w:tcMar>
              <w:top w:w="90" w:type="dxa"/>
              <w:start w:w="100" w:type="dxa"/>
              <w:bottom w:w="90" w:type="dxa"/>
              <w:end w:w="100" w:type="dxa"/>
            </w:tcMar>
            <w:vAlign w:val="center"/>
          </w:tcPr>
          <w:p>
            <w:pPr>
              <w:jc w:val="center"/>
            </w:pPr>
            <w:r>
              <w:rPr>
                <w:sz w:val="18"/>
              </w:rPr>
              <w:t>DS3</w:t>
            </w:r>
          </w:p>
        </w:tc>
        <w:tc>
          <w:tcPr>
            <w:tcW w:type="dxa" w:w="2376"/>
            <w:tcMar>
              <w:top w:w="90" w:type="dxa"/>
              <w:start w:w="100" w:type="dxa"/>
              <w:bottom w:w="90" w:type="dxa"/>
              <w:end w:w="100" w:type="dxa"/>
            </w:tcMar>
            <w:vAlign w:val="center"/>
          </w:tcPr>
          <w:p>
            <w:pPr>
              <w:jc w:val="left"/>
            </w:pPr>
            <w:r>
              <w:rPr>
                <w:sz w:val="18"/>
              </w:rPr>
              <w:t>Senior Data Scientist</w:t>
            </w:r>
          </w:p>
        </w:tc>
        <w:tc>
          <w:tcPr>
            <w:tcW w:type="dxa" w:w="3528"/>
            <w:tcMar>
              <w:top w:w="90" w:type="dxa"/>
              <w:start w:w="100" w:type="dxa"/>
              <w:bottom w:w="90" w:type="dxa"/>
              <w:end w:w="100" w:type="dxa"/>
            </w:tcMar>
            <w:vAlign w:val="center"/>
          </w:tcPr>
          <w:p>
            <w:pPr>
              <w:jc w:val="left"/>
            </w:pPr>
            <w:r>
              <w:rPr>
                <w:sz w:val="18"/>
              </w:rPr>
              <w:t>Leads end-to-end modeling programs and production impact reviews.</w:t>
            </w:r>
          </w:p>
        </w:tc>
        <w:tc>
          <w:tcPr>
            <w:tcW w:type="dxa" w:w="2880"/>
            <w:tcMar>
              <w:top w:w="90" w:type="dxa"/>
              <w:start w:w="100" w:type="dxa"/>
              <w:bottom w:w="90" w:type="dxa"/>
              <w:end w:w="100" w:type="dxa"/>
            </w:tcMar>
            <w:vAlign w:val="center"/>
          </w:tcPr>
          <w:p>
            <w:pPr>
              <w:jc w:val="left"/>
            </w:pPr>
            <w:r>
              <w:rPr>
                <w:sz w:val="18"/>
              </w:rPr>
              <w:t>Chooses methods, drives model governance, and coaches peers on rigor.</w:t>
            </w:r>
          </w:p>
        </w:tc>
      </w:tr>
      <w:tr>
        <w:tc>
          <w:tcPr>
            <w:tcW w:type="dxa" w:w="1080"/>
            <w:tcMar>
              <w:top w:w="90" w:type="dxa"/>
              <w:start w:w="100" w:type="dxa"/>
              <w:bottom w:w="90" w:type="dxa"/>
              <w:end w:w="100" w:type="dxa"/>
            </w:tcMar>
            <w:vAlign w:val="center"/>
          </w:tcPr>
          <w:p>
            <w:pPr>
              <w:jc w:val="center"/>
            </w:pPr>
            <w:r>
              <w:rPr>
                <w:sz w:val="18"/>
              </w:rPr>
              <w:t>DS4</w:t>
            </w:r>
          </w:p>
        </w:tc>
        <w:tc>
          <w:tcPr>
            <w:tcW w:type="dxa" w:w="2376"/>
            <w:tcMar>
              <w:top w:w="90" w:type="dxa"/>
              <w:start w:w="100" w:type="dxa"/>
              <w:bottom w:w="90" w:type="dxa"/>
              <w:end w:w="100" w:type="dxa"/>
            </w:tcMar>
            <w:vAlign w:val="center"/>
          </w:tcPr>
          <w:p>
            <w:pPr>
              <w:jc w:val="left"/>
            </w:pPr>
            <w:r>
              <w:rPr>
                <w:sz w:val="18"/>
              </w:rPr>
              <w:t>Lead Data Scientist</w:t>
            </w:r>
          </w:p>
        </w:tc>
        <w:tc>
          <w:tcPr>
            <w:tcW w:type="dxa" w:w="3528"/>
            <w:tcMar>
              <w:top w:w="90" w:type="dxa"/>
              <w:start w:w="100" w:type="dxa"/>
              <w:bottom w:w="90" w:type="dxa"/>
              <w:end w:w="100" w:type="dxa"/>
            </w:tcMar>
            <w:vAlign w:val="center"/>
          </w:tcPr>
          <w:p>
            <w:pPr>
              <w:jc w:val="left"/>
            </w:pPr>
            <w:r>
              <w:rPr>
                <w:sz w:val="18"/>
              </w:rPr>
              <w:t>Sets applied science direction across related products or business domains.</w:t>
            </w:r>
          </w:p>
        </w:tc>
        <w:tc>
          <w:tcPr>
            <w:tcW w:type="dxa" w:w="2880"/>
            <w:tcMar>
              <w:top w:w="90" w:type="dxa"/>
              <w:start w:w="100" w:type="dxa"/>
              <w:bottom w:w="90" w:type="dxa"/>
              <w:end w:w="100" w:type="dxa"/>
            </w:tcMar>
            <w:vAlign w:val="center"/>
          </w:tcPr>
          <w:p>
            <w:pPr>
              <w:jc w:val="left"/>
            </w:pPr>
            <w:r>
              <w:rPr>
                <w:sz w:val="18"/>
              </w:rPr>
              <w:t>Balances experimentation, interpretability, and deployment constraints.</w:t>
            </w:r>
          </w:p>
        </w:tc>
      </w:tr>
      <w:tr>
        <w:tc>
          <w:tcPr>
            <w:tcW w:type="dxa" w:w="1080"/>
            <w:tcMar>
              <w:top w:w="90" w:type="dxa"/>
              <w:start w:w="100" w:type="dxa"/>
              <w:bottom w:w="90" w:type="dxa"/>
              <w:end w:w="100" w:type="dxa"/>
            </w:tcMar>
            <w:vAlign w:val="center"/>
          </w:tcPr>
          <w:p>
            <w:pPr>
              <w:jc w:val="center"/>
            </w:pPr>
            <w:r>
              <w:rPr>
                <w:sz w:val="18"/>
              </w:rPr>
              <w:t>DS5</w:t>
            </w:r>
          </w:p>
        </w:tc>
        <w:tc>
          <w:tcPr>
            <w:tcW w:type="dxa" w:w="2376"/>
            <w:tcMar>
              <w:top w:w="90" w:type="dxa"/>
              <w:start w:w="100" w:type="dxa"/>
              <w:bottom w:w="90" w:type="dxa"/>
              <w:end w:w="100" w:type="dxa"/>
            </w:tcMar>
            <w:vAlign w:val="center"/>
          </w:tcPr>
          <w:p>
            <w:pPr>
              <w:jc w:val="left"/>
            </w:pPr>
            <w:r>
              <w:rPr>
                <w:sz w:val="18"/>
              </w:rPr>
              <w:t>Principal Data Scientist</w:t>
            </w:r>
          </w:p>
        </w:tc>
        <w:tc>
          <w:tcPr>
            <w:tcW w:type="dxa" w:w="3528"/>
            <w:tcMar>
              <w:top w:w="90" w:type="dxa"/>
              <w:start w:w="100" w:type="dxa"/>
              <w:bottom w:w="90" w:type="dxa"/>
              <w:end w:w="100" w:type="dxa"/>
            </w:tcMar>
            <w:vAlign w:val="center"/>
          </w:tcPr>
          <w:p>
            <w:pPr>
              <w:jc w:val="left"/>
            </w:pPr>
            <w:r>
              <w:rPr>
                <w:sz w:val="18"/>
              </w:rPr>
              <w:t>Defines enterprise data science strategy and influences executive decisions.</w:t>
            </w:r>
          </w:p>
        </w:tc>
        <w:tc>
          <w:tcPr>
            <w:tcW w:type="dxa" w:w="2880"/>
            <w:tcMar>
              <w:top w:w="90" w:type="dxa"/>
              <w:start w:w="100" w:type="dxa"/>
              <w:bottom w:w="90" w:type="dxa"/>
              <w:end w:w="100" w:type="dxa"/>
            </w:tcMar>
            <w:vAlign w:val="center"/>
          </w:tcPr>
          <w:p>
            <w:pPr>
              <w:jc w:val="left"/>
            </w:pPr>
            <w:r>
              <w:rPr>
                <w:sz w:val="18"/>
              </w:rPr>
              <w:t>Creates reusable methods and standards across multiple science teams.</w:t>
            </w:r>
          </w:p>
        </w:tc>
      </w:tr>
    </w:tbl>
    <w:p>
      <w:pPr>
        <w:pStyle w:val="SectionHeading"/>
      </w:pPr>
      <w:r>
        <w:t>Core dimensions used in level calibration</w:t>
      </w:r>
    </w:p>
    <w:p>
      <w:pPr>
        <w:pStyle w:val="Compact"/>
      </w:pPr>
      <w:r>
        <w:rPr>
          <w:b/>
        </w:rPr>
        <w:t xml:space="preserve">Scientific rigor: </w:t>
      </w:r>
      <w:r>
        <w:t>Uses sound methods, valid evaluation approaches, and reproducible workflows.</w:t>
      </w:r>
    </w:p>
    <w:p>
      <w:pPr>
        <w:pStyle w:val="Compact"/>
      </w:pPr>
      <w:r>
        <w:rPr>
          <w:b/>
        </w:rPr>
        <w:t xml:space="preserve">Business relevance: </w:t>
      </w:r>
      <w:r>
        <w:t>Connects models and experiments to real operating decisions and measurable impact.</w:t>
      </w:r>
    </w:p>
    <w:p>
      <w:pPr>
        <w:pStyle w:val="Compact"/>
      </w:pPr>
      <w:r>
        <w:rPr>
          <w:b/>
        </w:rPr>
        <w:t xml:space="preserve">Model lifecycle ownership: </w:t>
      </w:r>
      <w:r>
        <w:t>Considers data quality, feature stability, monitoring, retraining, and model risk.</w:t>
      </w:r>
    </w:p>
    <w:p>
      <w:pPr>
        <w:pStyle w:val="Compact"/>
      </w:pPr>
      <w:r>
        <w:rPr>
          <w:b/>
        </w:rPr>
        <w:t xml:space="preserve">Influence and education: </w:t>
      </w:r>
      <w:r>
        <w:t>Helps non-specialists understand model tradeoffs, assumptions, and limitations.</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requires more than stronger modeling skills; it requires better judgment about when to model, when to simplify, and when to stop.</w:t>
      </w:r>
    </w:p>
    <w:p>
      <w:pPr>
        <w:pStyle w:val="BulletBody"/>
      </w:pPr>
      <w:r>
        <w:t xml:space="preserve">• </w:t>
      </w:r>
      <w:r>
        <w:t>Employees advance as they design stronger experiments, improve deployment readiness, and help organizations use model outputs responsibly.</w:t>
      </w:r>
    </w:p>
    <w:p>
      <w:pPr>
        <w:pStyle w:val="BulletBody"/>
      </w:pPr>
      <w:r>
        <w:t xml:space="preserve">• </w:t>
      </w:r>
      <w:r>
        <w:t>Senior levels create reusable scientific practices and influence portfolio-level choices.</w:t>
      </w:r>
    </w:p>
    <w:p>
      <w:pPr>
        <w:pStyle w:val="BulletBody"/>
      </w:pPr>
      <w:r>
        <w:t xml:space="preserve">• </w:t>
      </w:r>
      <w:r>
        <w:t>Strong written and spoken English is often important because many teams collaborate across regions. Local language use may support in-country coordination, but progression standards remain role-based and impact-based.</w:t>
      </w:r>
    </w:p>
    <w:p>
      <w:pPr>
        <w:pStyle w:val="BulletBody"/>
      </w:pPr>
      <w:r>
        <w:t xml:space="preserve">• </w:t>
      </w:r>
      <w:r>
        <w:t>Local hiring labels can vary by team. Internal career movement should continue to use consistent scope and performance expectations across functions.</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DS1 — Data Scientist I. </w:t>
      </w:r>
      <w:r>
        <w:t>Shows careful method selection, clean notebooks or workflows, and disciplined experiment write-ups.</w:t>
      </w:r>
    </w:p>
    <w:p>
      <w:pPr>
        <w:pStyle w:val="Compact"/>
      </w:pPr>
      <w:r>
        <w:rPr>
          <w:b/>
        </w:rPr>
        <w:t xml:space="preserve">DS2 — Data Scientist II. </w:t>
      </w:r>
      <w:r>
        <w:t>Connects scientific work to business decisions and independently manages scoped model or experimentation work.</w:t>
      </w:r>
    </w:p>
    <w:p>
      <w:pPr>
        <w:pStyle w:val="Compact"/>
      </w:pPr>
      <w:r>
        <w:rPr>
          <w:b/>
        </w:rPr>
        <w:t xml:space="preserve">DS3 — Senior Data Scientist. </w:t>
      </w:r>
      <w:r>
        <w:t>Leads ambiguous science problems, production readiness discussions, and model performance tradeoffs.</w:t>
      </w:r>
    </w:p>
    <w:p>
      <w:pPr>
        <w:pStyle w:val="Compact"/>
      </w:pPr>
      <w:r>
        <w:rPr>
          <w:b/>
        </w:rPr>
        <w:t xml:space="preserve">DS4 — Lead Data Scientist. </w:t>
      </w:r>
      <w:r>
        <w:t>Sets domain direction, improves governance, and raises the science bar across teams.</w:t>
      </w:r>
    </w:p>
    <w:p>
      <w:pPr>
        <w:pStyle w:val="Compact"/>
      </w:pPr>
      <w:r>
        <w:rPr>
          <w:b/>
        </w:rPr>
        <w:t xml:space="preserve">DS5 — Principal Data Scientist. </w:t>
      </w:r>
      <w:r>
        <w:t>Creates strategic influence through reusable approaches, senior decision support, and enterprise standards.</w:t>
      </w:r>
    </w:p>
    <w:p>
      <w:pPr>
        <w:pStyle w:val="SectionHeading"/>
      </w:pPr>
      <w:r>
        <w:t>Illustrative examples in this country context</w:t>
      </w:r>
    </w:p>
    <w:p>
      <w:pPr>
        <w:pStyle w:val="BulletBody"/>
      </w:pPr>
      <w:r>
        <w:t xml:space="preserve">• </w:t>
      </w:r>
      <w:r>
        <w:t>A Business Analyst I may document an as-is process, clarify approval gaps, and support a team lead in translating them into structured requirements.</w:t>
      </w:r>
    </w:p>
    <w:p>
      <w:pPr>
        <w:pStyle w:val="BulletBody"/>
      </w:pPr>
      <w:r>
        <w:t xml:space="preserve">• </w:t>
      </w:r>
      <w:r>
        <w:t>A Senior Software Engineer may lead a major service hardening effort and coach engineers on root-cause analysis and runbook quality.</w:t>
      </w:r>
    </w:p>
    <w:p>
      <w:pPr>
        <w:pStyle w:val="BulletBody"/>
      </w:pPr>
      <w:r>
        <w:t xml:space="preserve">• </w:t>
      </w:r>
      <w:r>
        <w:t>A Data Analyst II may improve recurring leadership reporting by standardizing data checks and reducing last-minute manual corrections.</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Experiment plans, evaluation summaries, or model review artifacts</w:t>
      </w:r>
    </w:p>
    <w:p>
      <w:pPr>
        <w:pStyle w:val="BulletBody"/>
      </w:pPr>
      <w:r>
        <w:t xml:space="preserve">• </w:t>
      </w:r>
      <w:r>
        <w:t>Operational metrics that improved through model or experiment adoption</w:t>
      </w:r>
    </w:p>
    <w:p>
      <w:pPr>
        <w:pStyle w:val="BulletBody"/>
      </w:pPr>
      <w:r>
        <w:t xml:space="preserve">• </w:t>
      </w:r>
      <w:r>
        <w:t>Examples of balancing accuracy, interpretability, latency, or cost</w:t>
      </w:r>
    </w:p>
    <w:p>
      <w:pPr>
        <w:pStyle w:val="BulletBody"/>
      </w:pPr>
      <w:r>
        <w:t xml:space="preserve">• </w:t>
      </w:r>
      <w:r>
        <w:t>Peer coaching, review quality, and method standardization contributions</w:t>
      </w:r>
    </w:p>
    <w:p>
      <w:pPr>
        <w:pStyle w:val="Compact"/>
      </w:pPr>
      <w:r>
        <w:rPr>
          <w:b/>
        </w:rPr>
        <w:t xml:space="preserve">Internal mobility. </w:t>
      </w:r>
      <w:r>
        <w:t>Data Scientists may move between forecasting, recommendation, optimization, experimentation, or applied ML tracks when they demonstrate sufficient domain grounding and responsible model ownership.</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Pakistan Career Architecture | Career Architecture - Data Scientist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