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pPr>
      <w:r>
        <w:t>Career Architecture - Business Analyst</w:t>
      </w:r>
    </w:p>
    <w:p>
      <w:pPr>
        <w:pStyle w:val="DocSubtitle"/>
      </w:pPr>
      <w:r>
        <w:t>Pakistan | Job family: Business Analysis | Document owner: Talent Development</w:t>
      </w:r>
    </w:p>
    <w:tbl>
      <w:tblPr>
        <w:tblW w:type="auto" w:w="0"/>
        <w:jc w:val="center"/>
        <w:tblLayout w:type="fixed"/>
        <w:tblLook w:firstColumn="1" w:firstRow="1" w:lastColumn="0" w:lastRow="0" w:noHBand="0" w:noVBand="1" w:val="04A0"/>
      </w:tblPr>
      <w:tblGrid>
        <w:gridCol w:w="3360"/>
        <w:gridCol w:w="3360"/>
        <w:gridCol w:w="3360"/>
      </w:tblGrid>
      <w:tr>
        <w:tc>
          <w:tcPr>
            <w:tcW w:type="dxa" w:w="3024"/>
            <w:tcMar>
              <w:top w:w="80" w:type="dxa"/>
              <w:start w:w="100" w:type="dxa"/>
              <w:bottom w:w="80" w:type="dxa"/>
              <w:end w:w="100" w:type="dxa"/>
            </w:tcMar>
            <w:vAlign w:val="center"/>
            <w:shd w:fill="D9E2F3"/>
          </w:tcPr>
          <w:p>
            <w:pPr>
              <w:jc w:val="center"/>
            </w:pPr>
            <w:r>
              <w:rPr>
                <w:b/>
                <w:color w:val="243F74"/>
                <w:sz w:val="19"/>
              </w:rPr>
              <w:t>Applies to</w:t>
            </w:r>
          </w:p>
        </w:tc>
        <w:tc>
          <w:tcPr>
            <w:tcW w:type="dxa" w:w="3024"/>
            <w:tcMar>
              <w:top w:w="80" w:type="dxa"/>
              <w:start w:w="100" w:type="dxa"/>
              <w:bottom w:w="80" w:type="dxa"/>
              <w:end w:w="100" w:type="dxa"/>
            </w:tcMar>
            <w:vAlign w:val="center"/>
            <w:shd w:fill="D9E2F3"/>
          </w:tcPr>
          <w:p>
            <w:pPr>
              <w:jc w:val="center"/>
            </w:pPr>
            <w:r>
              <w:rPr>
                <w:b/>
                <w:color w:val="243F74"/>
                <w:sz w:val="19"/>
              </w:rPr>
              <w:t>Progression model</w:t>
            </w:r>
          </w:p>
        </w:tc>
        <w:tc>
          <w:tcPr>
            <w:tcW w:type="dxa" w:w="3024"/>
            <w:tcMar>
              <w:top w:w="80" w:type="dxa"/>
              <w:start w:w="100" w:type="dxa"/>
              <w:bottom w:w="80" w:type="dxa"/>
              <w:end w:w="100" w:type="dxa"/>
            </w:tcMar>
            <w:vAlign w:val="center"/>
            <w:shd w:fill="D9E2F3"/>
          </w:tcPr>
          <w:p>
            <w:pPr>
              <w:jc w:val="center"/>
            </w:pPr>
            <w:r>
              <w:rPr>
                <w:b/>
                <w:color w:val="243F74"/>
                <w:sz w:val="19"/>
              </w:rPr>
              <w:t>Review cadence</w:t>
            </w:r>
          </w:p>
        </w:tc>
      </w:tr>
      <w:tr>
        <w:tc>
          <w:tcPr>
            <w:tcW w:type="dxa" w:w="3024"/>
            <w:tcMar>
              <w:top w:w="80" w:type="dxa"/>
              <w:start w:w="100" w:type="dxa"/>
              <w:bottom w:w="80" w:type="dxa"/>
              <w:end w:w="100" w:type="dxa"/>
            </w:tcMar>
            <w:vAlign w:val="center"/>
          </w:tcPr>
          <w:p>
            <w:pPr>
              <w:jc w:val="center"/>
            </w:pPr>
            <w:r>
              <w:rPr>
                <w:sz w:val="18"/>
              </w:rPr>
              <w:t>Employees aligned to this job family in the named country</w:t>
            </w:r>
          </w:p>
        </w:tc>
        <w:tc>
          <w:tcPr>
            <w:tcW w:type="dxa" w:w="3024"/>
            <w:tcMar>
              <w:top w:w="80" w:type="dxa"/>
              <w:start w:w="100" w:type="dxa"/>
              <w:bottom w:w="80" w:type="dxa"/>
              <w:end w:w="100" w:type="dxa"/>
            </w:tcMar>
            <w:vAlign w:val="center"/>
          </w:tcPr>
          <w:p>
            <w:pPr>
              <w:jc w:val="center"/>
            </w:pPr>
            <w:r>
              <w:rPr>
                <w:sz w:val="18"/>
              </w:rPr>
              <w:t>Level placement based on sustained scope and evidence</w:t>
            </w:r>
          </w:p>
        </w:tc>
        <w:tc>
          <w:tcPr>
            <w:tcW w:type="dxa" w:w="3024"/>
            <w:tcMar>
              <w:top w:w="80" w:type="dxa"/>
              <w:start w:w="100" w:type="dxa"/>
              <w:bottom w:w="80" w:type="dxa"/>
              <w:end w:w="100" w:type="dxa"/>
            </w:tcMar>
            <w:vAlign w:val="center"/>
          </w:tcPr>
          <w:p>
            <w:pPr>
              <w:jc w:val="center"/>
            </w:pPr>
            <w:r>
              <w:rPr>
                <w:sz w:val="18"/>
              </w:rPr>
              <w:t>Annual review, or earlier when roles materially change</w:t>
            </w:r>
          </w:p>
        </w:tc>
      </w:tr>
    </w:tbl>
    <w:p>
      <w:pPr>
        <w:pStyle w:val="Compact"/>
      </w:pPr>
    </w:p>
    <w:p>
      <w:pPr>
        <w:pStyle w:val="Compact"/>
      </w:pPr>
      <w:r>
        <w:rPr>
          <w:b/>
        </w:rPr>
        <w:t xml:space="preserve">Purpose. </w:t>
      </w:r>
      <w:r>
        <w:t>This document defines the progression expectations for the Business Analyst job family. It covers requirements analysis, process design, control clarity, solution framing, and the ability to turn fragmented business needs into executable work.</w:t>
      </w:r>
    </w:p>
    <w:p>
      <w:pPr>
        <w:pStyle w:val="Compact"/>
      </w:pPr>
      <w:r>
        <w:rPr>
          <w:b/>
        </w:rPr>
        <w:t xml:space="preserve">Country context. </w:t>
      </w:r>
      <w:r>
        <w:t>Career growth in Pakistan often rewards reliable execution, strong documentation, and proactive collaboration in distributed teams. Employees are expected to raise risks early, maintain delivery discipline, and build trust through consistency and accountability.</w:t>
      </w:r>
    </w:p>
    <w:p>
      <w:pPr>
        <w:pStyle w:val="Compact"/>
      </w:pPr>
      <w:r>
        <w:rPr>
          <w:b/>
        </w:rPr>
        <w:t xml:space="preserve">How this document is used. </w:t>
      </w:r>
      <w:r>
        <w:t>This architecture supports hiring alignment, performance calibration, promotion discussions, development planning, and internal mobility. It does not create an automatic promotion path based on time in role; advancement requires sustained evidence that the next-level expectations are already being met in practice.</w:t>
      </w:r>
    </w:p>
    <w:p>
      <w:pPr>
        <w:pStyle w:val="SectionHeading"/>
      </w:pPr>
      <w:r>
        <w:t>Level framework</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080"/>
            <w:shd w:fill="D9E2F3"/>
            <w:tcMar>
              <w:top w:w="80" w:type="dxa"/>
              <w:start w:w="100" w:type="dxa"/>
              <w:bottom w:w="80" w:type="dxa"/>
              <w:end w:w="100" w:type="dxa"/>
            </w:tcMar>
            <w:vAlign w:val="center"/>
          </w:tcPr>
          <w:p>
            <w:pPr>
              <w:jc w:val="center"/>
            </w:pPr>
            <w:r>
              <w:rPr>
                <w:b/>
                <w:color w:val="243F74"/>
                <w:sz w:val="18"/>
              </w:rPr>
              <w:t>Level</w:t>
            </w:r>
          </w:p>
        </w:tc>
        <w:tc>
          <w:tcPr>
            <w:tcW w:type="dxa" w:w="2376"/>
            <w:shd w:fill="D9E2F3"/>
            <w:tcMar>
              <w:top w:w="80" w:type="dxa"/>
              <w:start w:w="100" w:type="dxa"/>
              <w:bottom w:w="80" w:type="dxa"/>
              <w:end w:w="100" w:type="dxa"/>
            </w:tcMar>
            <w:vAlign w:val="center"/>
          </w:tcPr>
          <w:p>
            <w:pPr>
              <w:jc w:val="center"/>
            </w:pPr>
            <w:r>
              <w:rPr>
                <w:b/>
                <w:color w:val="243F74"/>
                <w:sz w:val="18"/>
              </w:rPr>
              <w:t>Typical title</w:t>
            </w:r>
          </w:p>
        </w:tc>
        <w:tc>
          <w:tcPr>
            <w:tcW w:type="dxa" w:w="3528"/>
            <w:shd w:fill="D9E2F3"/>
            <w:tcMar>
              <w:top w:w="80" w:type="dxa"/>
              <w:start w:w="100" w:type="dxa"/>
              <w:bottom w:w="80" w:type="dxa"/>
              <w:end w:w="100" w:type="dxa"/>
            </w:tcMar>
            <w:vAlign w:val="center"/>
          </w:tcPr>
          <w:p>
            <w:pPr>
              <w:jc w:val="center"/>
            </w:pPr>
            <w:r>
              <w:rPr>
                <w:b/>
                <w:color w:val="243F74"/>
                <w:sz w:val="18"/>
              </w:rPr>
              <w:t>Primary scope</w:t>
            </w:r>
          </w:p>
        </w:tc>
        <w:tc>
          <w:tcPr>
            <w:tcW w:type="dxa" w:w="2880"/>
            <w:shd w:fill="D9E2F3"/>
            <w:tcMar>
              <w:top w:w="80" w:type="dxa"/>
              <w:start w:w="100" w:type="dxa"/>
              <w:bottom w:w="80" w:type="dxa"/>
              <w:end w:w="100" w:type="dxa"/>
            </w:tcMar>
            <w:vAlign w:val="center"/>
          </w:tcPr>
          <w:p>
            <w:pPr>
              <w:jc w:val="center"/>
            </w:pPr>
            <w:r>
              <w:rPr>
                <w:b/>
                <w:color w:val="243F74"/>
                <w:sz w:val="18"/>
              </w:rPr>
              <w:t>Decision latitude</w:t>
            </w:r>
          </w:p>
        </w:tc>
      </w:tr>
      <w:tr>
        <w:tc>
          <w:tcPr>
            <w:tcW w:type="dxa" w:w="1080"/>
            <w:tcMar>
              <w:top w:w="90" w:type="dxa"/>
              <w:start w:w="100" w:type="dxa"/>
              <w:bottom w:w="90" w:type="dxa"/>
              <w:end w:w="100" w:type="dxa"/>
            </w:tcMar>
            <w:vAlign w:val="center"/>
          </w:tcPr>
          <w:p>
            <w:pPr>
              <w:jc w:val="center"/>
            </w:pPr>
            <w:r>
              <w:rPr>
                <w:sz w:val="18"/>
              </w:rPr>
              <w:t>BA1</w:t>
            </w:r>
          </w:p>
        </w:tc>
        <w:tc>
          <w:tcPr>
            <w:tcW w:type="dxa" w:w="2376"/>
            <w:tcMar>
              <w:top w:w="90" w:type="dxa"/>
              <w:start w:w="100" w:type="dxa"/>
              <w:bottom w:w="90" w:type="dxa"/>
              <w:end w:w="100" w:type="dxa"/>
            </w:tcMar>
            <w:vAlign w:val="center"/>
          </w:tcPr>
          <w:p>
            <w:pPr>
              <w:jc w:val="left"/>
            </w:pPr>
            <w:r>
              <w:rPr>
                <w:sz w:val="18"/>
              </w:rPr>
              <w:t>Business Analyst I</w:t>
            </w:r>
          </w:p>
        </w:tc>
        <w:tc>
          <w:tcPr>
            <w:tcW w:type="dxa" w:w="3528"/>
            <w:tcMar>
              <w:top w:w="90" w:type="dxa"/>
              <w:start w:w="100" w:type="dxa"/>
              <w:bottom w:w="90" w:type="dxa"/>
              <w:end w:w="100" w:type="dxa"/>
            </w:tcMar>
            <w:vAlign w:val="center"/>
          </w:tcPr>
          <w:p>
            <w:pPr>
              <w:jc w:val="left"/>
            </w:pPr>
            <w:r>
              <w:rPr>
                <w:sz w:val="18"/>
              </w:rPr>
              <w:t>Supports requirement gathering, process mapping, and issue tracking.</w:t>
            </w:r>
          </w:p>
        </w:tc>
        <w:tc>
          <w:tcPr>
            <w:tcW w:type="dxa" w:w="2880"/>
            <w:tcMar>
              <w:top w:w="90" w:type="dxa"/>
              <w:start w:w="100" w:type="dxa"/>
              <w:bottom w:w="90" w:type="dxa"/>
              <w:end w:w="100" w:type="dxa"/>
            </w:tcMar>
            <w:vAlign w:val="center"/>
          </w:tcPr>
          <w:p>
            <w:pPr>
              <w:jc w:val="left"/>
            </w:pPr>
            <w:r>
              <w:rPr>
                <w:sz w:val="18"/>
              </w:rPr>
              <w:t>Documents current-state processes and validates facts with stakeholders.</w:t>
            </w:r>
          </w:p>
        </w:tc>
      </w:tr>
      <w:tr>
        <w:tc>
          <w:tcPr>
            <w:tcW w:type="dxa" w:w="1080"/>
            <w:tcMar>
              <w:top w:w="90" w:type="dxa"/>
              <w:start w:w="100" w:type="dxa"/>
              <w:bottom w:w="90" w:type="dxa"/>
              <w:end w:w="100" w:type="dxa"/>
            </w:tcMar>
            <w:vAlign w:val="center"/>
          </w:tcPr>
          <w:p>
            <w:pPr>
              <w:jc w:val="center"/>
            </w:pPr>
            <w:r>
              <w:rPr>
                <w:sz w:val="18"/>
              </w:rPr>
              <w:t>BA2</w:t>
            </w:r>
          </w:p>
        </w:tc>
        <w:tc>
          <w:tcPr>
            <w:tcW w:type="dxa" w:w="2376"/>
            <w:tcMar>
              <w:top w:w="90" w:type="dxa"/>
              <w:start w:w="100" w:type="dxa"/>
              <w:bottom w:w="90" w:type="dxa"/>
              <w:end w:w="100" w:type="dxa"/>
            </w:tcMar>
            <w:vAlign w:val="center"/>
          </w:tcPr>
          <w:p>
            <w:pPr>
              <w:jc w:val="left"/>
            </w:pPr>
            <w:r>
              <w:rPr>
                <w:sz w:val="18"/>
              </w:rPr>
              <w:t>Business Analyst II</w:t>
            </w:r>
          </w:p>
        </w:tc>
        <w:tc>
          <w:tcPr>
            <w:tcW w:type="dxa" w:w="3528"/>
            <w:tcMar>
              <w:top w:w="90" w:type="dxa"/>
              <w:start w:w="100" w:type="dxa"/>
              <w:bottom w:w="90" w:type="dxa"/>
              <w:end w:w="100" w:type="dxa"/>
            </w:tcMar>
            <w:vAlign w:val="center"/>
          </w:tcPr>
          <w:p>
            <w:pPr>
              <w:jc w:val="left"/>
            </w:pPr>
            <w:r>
              <w:rPr>
                <w:sz w:val="18"/>
              </w:rPr>
              <w:t>Owns medium-complexity requirements and process improvement work.</w:t>
            </w:r>
          </w:p>
        </w:tc>
        <w:tc>
          <w:tcPr>
            <w:tcW w:type="dxa" w:w="2880"/>
            <w:tcMar>
              <w:top w:w="90" w:type="dxa"/>
              <w:start w:w="100" w:type="dxa"/>
              <w:bottom w:w="90" w:type="dxa"/>
              <w:end w:w="100" w:type="dxa"/>
            </w:tcMar>
            <w:vAlign w:val="center"/>
          </w:tcPr>
          <w:p>
            <w:pPr>
              <w:jc w:val="left"/>
            </w:pPr>
            <w:r>
              <w:rPr>
                <w:sz w:val="18"/>
              </w:rPr>
              <w:t>Translates business needs into user stories, controls, and measurable outcomes.</w:t>
            </w:r>
          </w:p>
        </w:tc>
      </w:tr>
      <w:tr>
        <w:tc>
          <w:tcPr>
            <w:tcW w:type="dxa" w:w="1080"/>
            <w:tcMar>
              <w:top w:w="90" w:type="dxa"/>
              <w:start w:w="100" w:type="dxa"/>
              <w:bottom w:w="90" w:type="dxa"/>
              <w:end w:w="100" w:type="dxa"/>
            </w:tcMar>
            <w:vAlign w:val="center"/>
          </w:tcPr>
          <w:p>
            <w:pPr>
              <w:jc w:val="center"/>
            </w:pPr>
            <w:r>
              <w:rPr>
                <w:sz w:val="18"/>
              </w:rPr>
              <w:t>BA3</w:t>
            </w:r>
          </w:p>
        </w:tc>
        <w:tc>
          <w:tcPr>
            <w:tcW w:type="dxa" w:w="2376"/>
            <w:tcMar>
              <w:top w:w="90" w:type="dxa"/>
              <w:start w:w="100" w:type="dxa"/>
              <w:bottom w:w="90" w:type="dxa"/>
              <w:end w:w="100" w:type="dxa"/>
            </w:tcMar>
            <w:vAlign w:val="center"/>
          </w:tcPr>
          <w:p>
            <w:pPr>
              <w:jc w:val="left"/>
            </w:pPr>
            <w:r>
              <w:rPr>
                <w:sz w:val="18"/>
              </w:rPr>
              <w:t>Senior Business Analyst</w:t>
            </w:r>
          </w:p>
        </w:tc>
        <w:tc>
          <w:tcPr>
            <w:tcW w:type="dxa" w:w="3528"/>
            <w:tcMar>
              <w:top w:w="90" w:type="dxa"/>
              <w:start w:w="100" w:type="dxa"/>
              <w:bottom w:w="90" w:type="dxa"/>
              <w:end w:w="100" w:type="dxa"/>
            </w:tcMar>
            <w:vAlign w:val="center"/>
          </w:tcPr>
          <w:p>
            <w:pPr>
              <w:jc w:val="left"/>
            </w:pPr>
            <w:r>
              <w:rPr>
                <w:sz w:val="18"/>
              </w:rPr>
              <w:t>Leads complex cross-functional analysis and solution framing.</w:t>
            </w:r>
          </w:p>
        </w:tc>
        <w:tc>
          <w:tcPr>
            <w:tcW w:type="dxa" w:w="2880"/>
            <w:tcMar>
              <w:top w:w="90" w:type="dxa"/>
              <w:start w:w="100" w:type="dxa"/>
              <w:bottom w:w="90" w:type="dxa"/>
              <w:end w:w="100" w:type="dxa"/>
            </w:tcMar>
            <w:vAlign w:val="center"/>
          </w:tcPr>
          <w:p>
            <w:pPr>
              <w:jc w:val="left"/>
            </w:pPr>
            <w:r>
              <w:rPr>
                <w:sz w:val="18"/>
              </w:rPr>
              <w:t>Reconciles competing priorities and clarifies decision criteria for delivery teams.</w:t>
            </w:r>
          </w:p>
        </w:tc>
      </w:tr>
      <w:tr>
        <w:tc>
          <w:tcPr>
            <w:tcW w:type="dxa" w:w="1080"/>
            <w:tcMar>
              <w:top w:w="90" w:type="dxa"/>
              <w:start w:w="100" w:type="dxa"/>
              <w:bottom w:w="90" w:type="dxa"/>
              <w:end w:w="100" w:type="dxa"/>
            </w:tcMar>
            <w:vAlign w:val="center"/>
          </w:tcPr>
          <w:p>
            <w:pPr>
              <w:jc w:val="center"/>
            </w:pPr>
            <w:r>
              <w:rPr>
                <w:sz w:val="18"/>
              </w:rPr>
              <w:t>BA4</w:t>
            </w:r>
          </w:p>
        </w:tc>
        <w:tc>
          <w:tcPr>
            <w:tcW w:type="dxa" w:w="2376"/>
            <w:tcMar>
              <w:top w:w="90" w:type="dxa"/>
              <w:start w:w="100" w:type="dxa"/>
              <w:bottom w:w="90" w:type="dxa"/>
              <w:end w:w="100" w:type="dxa"/>
            </w:tcMar>
            <w:vAlign w:val="center"/>
          </w:tcPr>
          <w:p>
            <w:pPr>
              <w:jc w:val="left"/>
            </w:pPr>
            <w:r>
              <w:rPr>
                <w:sz w:val="18"/>
              </w:rPr>
              <w:t>Lead Business Analyst</w:t>
            </w:r>
          </w:p>
        </w:tc>
        <w:tc>
          <w:tcPr>
            <w:tcW w:type="dxa" w:w="3528"/>
            <w:tcMar>
              <w:top w:w="90" w:type="dxa"/>
              <w:start w:w="100" w:type="dxa"/>
              <w:bottom w:w="90" w:type="dxa"/>
              <w:end w:w="100" w:type="dxa"/>
            </w:tcMar>
            <w:vAlign w:val="center"/>
          </w:tcPr>
          <w:p>
            <w:pPr>
              <w:jc w:val="left"/>
            </w:pPr>
            <w:r>
              <w:rPr>
                <w:sz w:val="18"/>
              </w:rPr>
              <w:t>Sets business analysis methods across programs and business units.</w:t>
            </w:r>
          </w:p>
        </w:tc>
        <w:tc>
          <w:tcPr>
            <w:tcW w:type="dxa" w:w="2880"/>
            <w:tcMar>
              <w:top w:w="90" w:type="dxa"/>
              <w:start w:w="100" w:type="dxa"/>
              <w:bottom w:w="90" w:type="dxa"/>
              <w:end w:w="100" w:type="dxa"/>
            </w:tcMar>
            <w:vAlign w:val="center"/>
          </w:tcPr>
          <w:p>
            <w:pPr>
              <w:jc w:val="left"/>
            </w:pPr>
            <w:r>
              <w:rPr>
                <w:sz w:val="18"/>
              </w:rPr>
              <w:t>Shapes operating models, governance, and change management plans.</w:t>
            </w:r>
          </w:p>
        </w:tc>
      </w:tr>
      <w:tr>
        <w:tc>
          <w:tcPr>
            <w:tcW w:type="dxa" w:w="1080"/>
            <w:tcMar>
              <w:top w:w="90" w:type="dxa"/>
              <w:start w:w="100" w:type="dxa"/>
              <w:bottom w:w="90" w:type="dxa"/>
              <w:end w:w="100" w:type="dxa"/>
            </w:tcMar>
            <w:vAlign w:val="center"/>
          </w:tcPr>
          <w:p>
            <w:pPr>
              <w:jc w:val="center"/>
            </w:pPr>
            <w:r>
              <w:rPr>
                <w:sz w:val="18"/>
              </w:rPr>
              <w:t>BA5</w:t>
            </w:r>
          </w:p>
        </w:tc>
        <w:tc>
          <w:tcPr>
            <w:tcW w:type="dxa" w:w="2376"/>
            <w:tcMar>
              <w:top w:w="90" w:type="dxa"/>
              <w:start w:w="100" w:type="dxa"/>
              <w:bottom w:w="90" w:type="dxa"/>
              <w:end w:w="100" w:type="dxa"/>
            </w:tcMar>
            <w:vAlign w:val="center"/>
          </w:tcPr>
          <w:p>
            <w:pPr>
              <w:jc w:val="left"/>
            </w:pPr>
            <w:r>
              <w:rPr>
                <w:sz w:val="18"/>
              </w:rPr>
              <w:t>Principal Business Analyst</w:t>
            </w:r>
          </w:p>
        </w:tc>
        <w:tc>
          <w:tcPr>
            <w:tcW w:type="dxa" w:w="3528"/>
            <w:tcMar>
              <w:top w:w="90" w:type="dxa"/>
              <w:start w:w="100" w:type="dxa"/>
              <w:bottom w:w="90" w:type="dxa"/>
              <w:end w:w="100" w:type="dxa"/>
            </w:tcMar>
            <w:vAlign w:val="center"/>
          </w:tcPr>
          <w:p>
            <w:pPr>
              <w:jc w:val="left"/>
            </w:pPr>
            <w:r>
              <w:rPr>
                <w:sz w:val="18"/>
              </w:rPr>
              <w:t>Advises leaders on transformation priorities and enterprise process design.</w:t>
            </w:r>
          </w:p>
        </w:tc>
        <w:tc>
          <w:tcPr>
            <w:tcW w:type="dxa" w:w="2880"/>
            <w:tcMar>
              <w:top w:w="90" w:type="dxa"/>
              <w:start w:w="100" w:type="dxa"/>
              <w:bottom w:w="90" w:type="dxa"/>
              <w:end w:w="100" w:type="dxa"/>
            </w:tcMar>
            <w:vAlign w:val="center"/>
          </w:tcPr>
          <w:p>
            <w:pPr>
              <w:jc w:val="left"/>
            </w:pPr>
            <w:r>
              <w:rPr>
                <w:sz w:val="18"/>
              </w:rPr>
              <w:t>Aligns multi-function roadmaps and long-horizon business capabilities.</w:t>
            </w:r>
          </w:p>
        </w:tc>
      </w:tr>
    </w:tbl>
    <w:p>
      <w:pPr>
        <w:pStyle w:val="SectionHeading"/>
      </w:pPr>
      <w:r>
        <w:t>Core dimensions used in level calibration</w:t>
      </w:r>
    </w:p>
    <w:p>
      <w:pPr>
        <w:pStyle w:val="Compact"/>
      </w:pPr>
      <w:r>
        <w:rPr>
          <w:b/>
        </w:rPr>
        <w:t xml:space="preserve">Problem structuring: </w:t>
      </w:r>
      <w:r>
        <w:t>Breaks down business issues into understandable decisions, requirements, and dependencies.</w:t>
      </w:r>
    </w:p>
    <w:p>
      <w:pPr>
        <w:pStyle w:val="Compact"/>
      </w:pPr>
      <w:r>
        <w:rPr>
          <w:b/>
        </w:rPr>
        <w:t xml:space="preserve">Process and controls insight: </w:t>
      </w:r>
      <w:r>
        <w:t>Maps current and future workflows with clear roles, decisions, and handoffs.</w:t>
      </w:r>
    </w:p>
    <w:p>
      <w:pPr>
        <w:pStyle w:val="Compact"/>
      </w:pPr>
      <w:r>
        <w:rPr>
          <w:b/>
        </w:rPr>
        <w:t xml:space="preserve">Stakeholder alignment: </w:t>
      </w:r>
      <w:r>
        <w:t>Facilitates tradeoff discussions and keeps business and delivery teams aligned.</w:t>
      </w:r>
    </w:p>
    <w:p>
      <w:pPr>
        <w:pStyle w:val="Compact"/>
      </w:pPr>
      <w:r>
        <w:rPr>
          <w:b/>
        </w:rPr>
        <w:t xml:space="preserve">Change readiness: </w:t>
      </w:r>
      <w:r>
        <w:t>Supports adoption, validation, and operational follow-through after implementation.</w:t>
      </w:r>
    </w:p>
    <w:p>
      <w:pPr>
        <w:pStyle w:val="TinyNote"/>
      </w:pPr>
      <w:r>
        <w:t>Calibration should consider the consistency, complexity, and business significance of outcomes, not isolated peak moments.</w:t>
      </w:r>
    </w:p>
    <w:p>
      <w:pPr>
        <w:pStyle w:val="SectionHeading"/>
      </w:pPr>
      <w:r>
        <w:t>Progression principles</w:t>
      </w:r>
    </w:p>
    <w:p>
      <w:pPr>
        <w:pStyle w:val="BulletBody"/>
      </w:pPr>
      <w:r>
        <w:t xml:space="preserve">• </w:t>
      </w:r>
      <w:r>
        <w:t>Progression occurs as employees move from documenting needs to shaping which needs matter most and why.</w:t>
      </w:r>
    </w:p>
    <w:p>
      <w:pPr>
        <w:pStyle w:val="BulletBody"/>
      </w:pPr>
      <w:r>
        <w:t xml:space="preserve">• </w:t>
      </w:r>
      <w:r>
        <w:t>Higher levels manage ambiguity, facilitate difficult prioritization discussions, and help teams choose practical paths forward.</w:t>
      </w:r>
    </w:p>
    <w:p>
      <w:pPr>
        <w:pStyle w:val="BulletBody"/>
      </w:pPr>
      <w:r>
        <w:t xml:space="preserve">• </w:t>
      </w:r>
      <w:r>
        <w:t>Senior analysts influence operating models, governance, and decision rights, not only user stories and requirement lists.</w:t>
      </w:r>
    </w:p>
    <w:p>
      <w:pPr>
        <w:pStyle w:val="BulletBody"/>
      </w:pPr>
      <w:r>
        <w:t xml:space="preserve">• </w:t>
      </w:r>
      <w:r>
        <w:t>Strong written and spoken English is often important because many teams collaborate across regions. Local language use may support in-country coordination, but progression standards remain role-based and impact-based.</w:t>
      </w:r>
    </w:p>
    <w:p>
      <w:pPr>
        <w:pStyle w:val="BulletBody"/>
      </w:pPr>
      <w:r>
        <w:t xml:space="preserve">• </w:t>
      </w:r>
      <w:r>
        <w:t>Local hiring labels can vary by team. Internal career movement should continue to use consistent scope and performance expectations across functions.</w:t>
      </w:r>
    </w:p>
    <w:p>
      <w:pPr>
        <w:pStyle w:val="Compact"/>
      </w:pPr>
      <w:r>
        <w:rPr>
          <w:b/>
        </w:rPr>
        <w:t xml:space="preserve">Promotion timing. </w:t>
      </w:r>
      <w:r>
        <w:t>There is no minimum time-in-level guarantee. Employees are considered for advancement when their work shows sustained next-level performance, reliable judgment, and broad trust from partners over an appropriate review period.</w:t>
      </w:r>
    </w:p>
    <w:p>
      <w:pPr>
        <w:pStyle w:val="SectionHeading"/>
      </w:pPr>
      <w:r>
        <w:t>What strong performance looks like by level</w:t>
      </w:r>
    </w:p>
    <w:p>
      <w:pPr>
        <w:pStyle w:val="Compact"/>
      </w:pPr>
      <w:r>
        <w:rPr>
          <w:b/>
        </w:rPr>
        <w:t xml:space="preserve">BA1 — Business Analyst I. </w:t>
      </w:r>
      <w:r>
        <w:t>Produces clear notes, process maps, meeting outputs, and requirement drafts with good follow-through.</w:t>
      </w:r>
    </w:p>
    <w:p>
      <w:pPr>
        <w:pStyle w:val="Compact"/>
      </w:pPr>
      <w:r>
        <w:rPr>
          <w:b/>
        </w:rPr>
        <w:t xml:space="preserve">BA2 — Business Analyst II. </w:t>
      </w:r>
      <w:r>
        <w:t>Owns process analysis and requirement quality for medium-complexity initiatives while building partner trust.</w:t>
      </w:r>
    </w:p>
    <w:p>
      <w:pPr>
        <w:pStyle w:val="Compact"/>
      </w:pPr>
      <w:r>
        <w:rPr>
          <w:b/>
        </w:rPr>
        <w:t xml:space="preserve">BA3 — Senior Business Analyst. </w:t>
      </w:r>
      <w:r>
        <w:t>Leads difficult tradeoff discussions, clarifies dependencies, and keeps solution design grounded in operational reality.</w:t>
      </w:r>
    </w:p>
    <w:p>
      <w:pPr>
        <w:pStyle w:val="Compact"/>
      </w:pPr>
      <w:r>
        <w:rPr>
          <w:b/>
        </w:rPr>
        <w:t xml:space="preserve">BA4 — Lead Business Analyst. </w:t>
      </w:r>
      <w:r>
        <w:t>Sets methods for discovery, decision logs, governance, and cross-program alignment.</w:t>
      </w:r>
    </w:p>
    <w:p>
      <w:pPr>
        <w:pStyle w:val="Compact"/>
      </w:pPr>
      <w:r>
        <w:rPr>
          <w:b/>
        </w:rPr>
        <w:t xml:space="preserve">BA5 — Principal Business Analyst. </w:t>
      </w:r>
      <w:r>
        <w:t>Shapes enterprise process design and advises leadership on sequencing, control maturity, and transformation risk.</w:t>
      </w:r>
    </w:p>
    <w:p>
      <w:pPr>
        <w:pStyle w:val="SectionHeading"/>
      </w:pPr>
      <w:r>
        <w:t>Illustrative examples in this country context</w:t>
      </w:r>
    </w:p>
    <w:p>
      <w:pPr>
        <w:pStyle w:val="BulletBody"/>
      </w:pPr>
      <w:r>
        <w:t xml:space="preserve">• </w:t>
      </w:r>
      <w:r>
        <w:t>A Business Analyst I may document an as-is process, clarify approval gaps, and support a team lead in translating them into structured requirements.</w:t>
      </w:r>
    </w:p>
    <w:p>
      <w:pPr>
        <w:pStyle w:val="BulletBody"/>
      </w:pPr>
      <w:r>
        <w:t xml:space="preserve">• </w:t>
      </w:r>
      <w:r>
        <w:t>A Senior Software Engineer may lead a major service hardening effort and coach engineers on root-cause analysis and runbook quality.</w:t>
      </w:r>
    </w:p>
    <w:p>
      <w:pPr>
        <w:pStyle w:val="BulletBody"/>
      </w:pPr>
      <w:r>
        <w:t xml:space="preserve">• </w:t>
      </w:r>
      <w:r>
        <w:t>A Data Analyst II may improve recurring leadership reporting by standardizing data checks and reducing last-minute manual corrections.</w:t>
      </w:r>
    </w:p>
    <w:p>
      <w:pPr>
        <w:pStyle w:val="TinyNote"/>
      </w:pPr>
      <w:r>
        <w:t>Examples illustrate the type of work that may support calibration. They are not exhaustive and do not override the formal level definitions.</w:t>
      </w:r>
    </w:p>
    <w:p>
      <w:pPr>
        <w:pStyle w:val="SectionHeading"/>
      </w:pPr>
      <w:r>
        <w:t>Evidence considered in promotion and internal mobility</w:t>
      </w:r>
    </w:p>
    <w:p>
      <w:pPr>
        <w:pStyle w:val="Compact"/>
      </w:pPr>
      <w:r>
        <w:rPr>
          <w:b/>
        </w:rPr>
        <w:t xml:space="preserve">Evidence. </w:t>
      </w:r>
      <w:r>
        <w:t>Reviewers should look for repeatable outcomes, not isolated achievements. Useful evidence includes:</w:t>
      </w:r>
    </w:p>
    <w:p>
      <w:pPr>
        <w:pStyle w:val="BulletBody"/>
      </w:pPr>
      <w:r>
        <w:t xml:space="preserve">• </w:t>
      </w:r>
      <w:r>
        <w:t>Requirements packs or process maps that drove implementation decisions</w:t>
      </w:r>
    </w:p>
    <w:p>
      <w:pPr>
        <w:pStyle w:val="BulletBody"/>
      </w:pPr>
      <w:r>
        <w:t xml:space="preserve">• </w:t>
      </w:r>
      <w:r>
        <w:t>Examples of risk or dependency discovery that changed delivery plans</w:t>
      </w:r>
    </w:p>
    <w:p>
      <w:pPr>
        <w:pStyle w:val="BulletBody"/>
      </w:pPr>
      <w:r>
        <w:t xml:space="preserve">• </w:t>
      </w:r>
      <w:r>
        <w:t>Stakeholder feedback showing clarity, facilitation quality, and outcome orientation</w:t>
      </w:r>
    </w:p>
    <w:p>
      <w:pPr>
        <w:pStyle w:val="BulletBody"/>
      </w:pPr>
      <w:r>
        <w:t xml:space="preserve">• </w:t>
      </w:r>
      <w:r>
        <w:t>Adoption results or control improvements after rollout</w:t>
      </w:r>
    </w:p>
    <w:p>
      <w:pPr>
        <w:pStyle w:val="Compact"/>
      </w:pPr>
      <w:r>
        <w:rPr>
          <w:b/>
        </w:rPr>
        <w:t xml:space="preserve">Internal mobility. </w:t>
      </w:r>
      <w:r>
        <w:t>Business Analysts may move across operations, finance, customer support, people operations, or product-enabled transformation work when they can transfer analytical structure and facilitation capability into the new domain.</w:t>
      </w:r>
    </w:p>
    <w:p>
      <w:pPr>
        <w:pStyle w:val="Compact"/>
      </w:pPr>
      <w:r>
        <w:rPr>
          <w:b/>
        </w:rPr>
        <w:t xml:space="preserve">Development planning. </w:t>
      </w:r>
      <w:r>
        <w:t>Employees and managers should use this architecture to identify the next two or three growth areas that would most clearly increase readiness for broader scope. Development plans should focus on applied opportunities, not only training completion.</w:t>
      </w:r>
    </w:p>
    <w:p>
      <w:pPr>
        <w:pStyle w:val="SectionHeading"/>
      </w:pPr>
      <w:r>
        <w:t>Guidance for managers and calibration partners</w:t>
      </w:r>
    </w:p>
    <w:p>
      <w:pPr>
        <w:pStyle w:val="BulletBody"/>
      </w:pPr>
      <w:r>
        <w:t xml:space="preserve">• </w:t>
      </w:r>
      <w:r>
        <w:t>Do not use title inflation, urgent business need, or retention pressure as substitutes for evidence of the next level.</w:t>
      </w:r>
    </w:p>
    <w:p>
      <w:pPr>
        <w:pStyle w:val="BulletBody"/>
      </w:pPr>
      <w:r>
        <w:t xml:space="preserve">• </w:t>
      </w:r>
      <w:r>
        <w:t>When assessing readiness, compare the employee to the written expectations of the next level, not only to immediate peers.</w:t>
      </w:r>
    </w:p>
    <w:p>
      <w:pPr>
        <w:pStyle w:val="BulletBody"/>
      </w:pPr>
      <w:r>
        <w:t xml:space="preserve">• </w:t>
      </w:r>
      <w:r>
        <w:t>Look for consistency over more than one review point, especially for roles where judgment and influence are central.</w:t>
      </w:r>
    </w:p>
    <w:p>
      <w:pPr>
        <w:pStyle w:val="BulletBody"/>
      </w:pPr>
      <w:r>
        <w:t xml:space="preserve">• </w:t>
      </w:r>
      <w:r>
        <w:t>Use this architecture together with local role design, team context, and available scope; career growth should not depend on one narrow project type.</w:t>
      </w:r>
    </w:p>
    <w:p>
      <w:pPr>
        <w:pStyle w:val="BulletBody"/>
      </w:pPr>
      <w:r>
        <w:t xml:space="preserve">• </w:t>
      </w:r>
      <w:r>
        <w:t>Where a role is changing significantly, adjust expectations transparently and document what new success looks like before using it in promotion decisions.</w:t>
      </w:r>
    </w:p>
    <w:p>
      <w:pPr>
        <w:pStyle w:val="Compact"/>
      </w:pPr>
      <w:r>
        <w:rPr>
          <w:b/>
        </w:rPr>
        <w:t xml:space="preserve">Escalation. </w:t>
      </w:r>
      <w:r>
        <w:t>Questions about level placement, unusual title mapping, or cross-country comparability should be routed to talentdevelopment@company.com with supporting examples and recent review context.</w:t>
      </w:r>
    </w:p>
    <w:sectPr w:rsidR="00FC693F" w:rsidRPr="0006063C" w:rsidSect="00034616">
      <w:headerReference w:type="default" r:id="rId9"/>
      <w:footerReference w:type="default" r:id="rId10"/>
      <w:pgSz w:w="12240" w:h="15840"/>
      <w:pgMar w:top="864"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E6E6E"/>
        <w:sz w:val="17"/>
      </w:rPr>
      <w:t xml:space="preserve">Talent Development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TinyNote"/>
    </w:pPr>
    <w:r/>
    <w:r>
      <w:rPr>
        <w:b/>
        <w:color w:val="243F74"/>
      </w:rPr>
      <w:t>Pakistan Career Architecture | Career Architecture - Business Analyst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23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 Title"/>
    <w:basedOn w:val="Normal"/>
    <w:pPr>
      <w:spacing w:after="20"/>
    </w:pPr>
    <w:rPr>
      <w:rFonts w:ascii="Aptos Display" w:hAnsi="Aptos Display"/>
      <w:b/>
      <w:color w:val="243F74"/>
      <w:sz w:val="36"/>
    </w:rPr>
  </w:style>
  <w:style w:type="paragraph" w:customStyle="1" w:styleId="DocSubtitle">
    <w:name w:val="Doc Subtitle"/>
    <w:basedOn w:val="Normal"/>
    <w:pPr>
      <w:spacing w:after="120"/>
    </w:pPr>
    <w:rPr>
      <w:color w:val="5E5E5E"/>
      <w:sz w:val="19"/>
    </w:rPr>
  </w:style>
  <w:style w:type="paragraph" w:customStyle="1" w:styleId="SectionHeading">
    <w:name w:val="Section Heading"/>
    <w:basedOn w:val="Heading2"/>
    <w:pPr>
      <w:keepNext/>
      <w:spacing w:before="200" w:after="40"/>
    </w:pPr>
    <w:rPr>
      <w:rFonts w:ascii="Aptos" w:hAnsi="Aptos"/>
      <w:b/>
      <w:color w:val="243F74"/>
      <w:sz w:val="24"/>
    </w:rPr>
  </w:style>
  <w:style w:type="paragraph" w:customStyle="1" w:styleId="TinyNote">
    <w:name w:val="Tiny Note"/>
    <w:basedOn w:val="Normal"/>
    <w:pPr>
      <w:spacing w:after="40"/>
    </w:pPr>
    <w:rPr>
      <w:color w:val="6E6E6E"/>
      <w:sz w:val="17"/>
    </w:rPr>
  </w:style>
  <w:style w:type="paragraph" w:customStyle="1" w:styleId="BulletBody">
    <w:name w:val="Bullet Body"/>
    <w:basedOn w:val="Normal"/>
    <w:pPr>
      <w:spacing w:after="20"/>
      <w:ind w:left="317" w:hanging="230"/>
    </w:pPr>
  </w:style>
  <w:style w:type="paragraph" w:customStyle="1" w:styleId="Compact">
    <w:name w:val="Compact"/>
    <w:basedOn w:val="Normal"/>
    <w:pPr>
      <w:spacing w:after="4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