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Software Engineer</w:t>
      </w:r>
    </w:p>
    <w:p>
      <w:pPr>
        <w:pStyle w:val="DocSubtitle"/>
      </w:pPr>
      <w:r>
        <w:t>Pakistan | Job family: Software Engineering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Software Engineer job family. It covers software design, delivery, quality, operations, technical leadership, and the increasing responsibility to shape systems rather than only implement tickets.</w:t>
      </w:r>
    </w:p>
    <w:p>
      <w:pPr>
        <w:pStyle w:val="Compact"/>
      </w:pPr>
      <w:r>
        <w:rPr>
          <w:b/>
        </w:rPr>
        <w:t xml:space="preserve">Country context. </w:t>
      </w:r>
      <w:r>
        <w:t>Career growth in Pakistan often rewards reliable execution, strong documentation, and proactive collaboration in distributed teams. Employees are expected to raise risks early, maintain delivery discipline, and build trust through consistency and accountability.</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SE1</w:t>
            </w:r>
          </w:p>
        </w:tc>
        <w:tc>
          <w:tcPr>
            <w:tcW w:type="dxa" w:w="2376"/>
            <w:tcMar>
              <w:top w:w="90" w:type="dxa"/>
              <w:start w:w="100" w:type="dxa"/>
              <w:bottom w:w="90" w:type="dxa"/>
              <w:end w:w="100" w:type="dxa"/>
            </w:tcMar>
            <w:vAlign w:val="center"/>
          </w:tcPr>
          <w:p>
            <w:pPr>
              <w:jc w:val="left"/>
            </w:pPr>
            <w:r>
              <w:rPr>
                <w:sz w:val="18"/>
              </w:rPr>
              <w:t>Software Engineer I</w:t>
            </w:r>
          </w:p>
        </w:tc>
        <w:tc>
          <w:tcPr>
            <w:tcW w:type="dxa" w:w="3528"/>
            <w:tcMar>
              <w:top w:w="90" w:type="dxa"/>
              <w:start w:w="100" w:type="dxa"/>
              <w:bottom w:w="90" w:type="dxa"/>
              <w:end w:w="100" w:type="dxa"/>
            </w:tcMar>
            <w:vAlign w:val="center"/>
          </w:tcPr>
          <w:p>
            <w:pPr>
              <w:jc w:val="left"/>
            </w:pPr>
            <w:r>
              <w:rPr>
                <w:sz w:val="18"/>
              </w:rPr>
              <w:t>Delivers well-scoped features with review support and strong engineering hygiene.</w:t>
            </w:r>
          </w:p>
        </w:tc>
        <w:tc>
          <w:tcPr>
            <w:tcW w:type="dxa" w:w="2880"/>
            <w:tcMar>
              <w:top w:w="90" w:type="dxa"/>
              <w:start w:w="100" w:type="dxa"/>
              <w:bottom w:w="90" w:type="dxa"/>
              <w:end w:w="100" w:type="dxa"/>
            </w:tcMar>
            <w:vAlign w:val="center"/>
          </w:tcPr>
          <w:p>
            <w:pPr>
              <w:jc w:val="left"/>
            </w:pPr>
            <w:r>
              <w:rPr>
                <w:sz w:val="18"/>
              </w:rPr>
              <w:t>Learns systems, writes maintainable code, and closes assigned work reliably.</w:t>
            </w:r>
          </w:p>
        </w:tc>
      </w:tr>
      <w:tr>
        <w:tc>
          <w:tcPr>
            <w:tcW w:type="dxa" w:w="1080"/>
            <w:tcMar>
              <w:top w:w="90" w:type="dxa"/>
              <w:start w:w="100" w:type="dxa"/>
              <w:bottom w:w="90" w:type="dxa"/>
              <w:end w:w="100" w:type="dxa"/>
            </w:tcMar>
            <w:vAlign w:val="center"/>
          </w:tcPr>
          <w:p>
            <w:pPr>
              <w:jc w:val="center"/>
            </w:pPr>
            <w:r>
              <w:rPr>
                <w:sz w:val="18"/>
              </w:rPr>
              <w:t>SE2</w:t>
            </w:r>
          </w:p>
        </w:tc>
        <w:tc>
          <w:tcPr>
            <w:tcW w:type="dxa" w:w="2376"/>
            <w:tcMar>
              <w:top w:w="90" w:type="dxa"/>
              <w:start w:w="100" w:type="dxa"/>
              <w:bottom w:w="90" w:type="dxa"/>
              <w:end w:w="100" w:type="dxa"/>
            </w:tcMar>
            <w:vAlign w:val="center"/>
          </w:tcPr>
          <w:p>
            <w:pPr>
              <w:jc w:val="left"/>
            </w:pPr>
            <w:r>
              <w:rPr>
                <w:sz w:val="18"/>
              </w:rPr>
              <w:t>Software Engineer II</w:t>
            </w:r>
          </w:p>
        </w:tc>
        <w:tc>
          <w:tcPr>
            <w:tcW w:type="dxa" w:w="3528"/>
            <w:tcMar>
              <w:top w:w="90" w:type="dxa"/>
              <w:start w:w="100" w:type="dxa"/>
              <w:bottom w:w="90" w:type="dxa"/>
              <w:end w:w="100" w:type="dxa"/>
            </w:tcMar>
            <w:vAlign w:val="center"/>
          </w:tcPr>
          <w:p>
            <w:pPr>
              <w:jc w:val="left"/>
            </w:pPr>
            <w:r>
              <w:rPr>
                <w:sz w:val="18"/>
              </w:rPr>
              <w:t>Owns components, troubleshooting, and service quality within a team.</w:t>
            </w:r>
          </w:p>
        </w:tc>
        <w:tc>
          <w:tcPr>
            <w:tcW w:type="dxa" w:w="2880"/>
            <w:tcMar>
              <w:top w:w="90" w:type="dxa"/>
              <w:start w:w="100" w:type="dxa"/>
              <w:bottom w:w="90" w:type="dxa"/>
              <w:end w:w="100" w:type="dxa"/>
            </w:tcMar>
            <w:vAlign w:val="center"/>
          </w:tcPr>
          <w:p>
            <w:pPr>
              <w:jc w:val="left"/>
            </w:pPr>
            <w:r>
              <w:rPr>
                <w:sz w:val="18"/>
              </w:rPr>
              <w:t>Makes sound implementation choices and improves test coverage and operational readiness.</w:t>
            </w:r>
          </w:p>
        </w:tc>
      </w:tr>
      <w:tr>
        <w:tc>
          <w:tcPr>
            <w:tcW w:type="dxa" w:w="1080"/>
            <w:tcMar>
              <w:top w:w="90" w:type="dxa"/>
              <w:start w:w="100" w:type="dxa"/>
              <w:bottom w:w="90" w:type="dxa"/>
              <w:end w:w="100" w:type="dxa"/>
            </w:tcMar>
            <w:vAlign w:val="center"/>
          </w:tcPr>
          <w:p>
            <w:pPr>
              <w:jc w:val="center"/>
            </w:pPr>
            <w:r>
              <w:rPr>
                <w:sz w:val="18"/>
              </w:rPr>
              <w:t>SE3</w:t>
            </w:r>
          </w:p>
        </w:tc>
        <w:tc>
          <w:tcPr>
            <w:tcW w:type="dxa" w:w="2376"/>
            <w:tcMar>
              <w:top w:w="90" w:type="dxa"/>
              <w:start w:w="100" w:type="dxa"/>
              <w:bottom w:w="90" w:type="dxa"/>
              <w:end w:w="100" w:type="dxa"/>
            </w:tcMar>
            <w:vAlign w:val="center"/>
          </w:tcPr>
          <w:p>
            <w:pPr>
              <w:jc w:val="left"/>
            </w:pPr>
            <w:r>
              <w:rPr>
                <w:sz w:val="18"/>
              </w:rPr>
              <w:t>Senior Software Engineer</w:t>
            </w:r>
          </w:p>
        </w:tc>
        <w:tc>
          <w:tcPr>
            <w:tcW w:type="dxa" w:w="3528"/>
            <w:tcMar>
              <w:top w:w="90" w:type="dxa"/>
              <w:start w:w="100" w:type="dxa"/>
              <w:bottom w:w="90" w:type="dxa"/>
              <w:end w:w="100" w:type="dxa"/>
            </w:tcMar>
            <w:vAlign w:val="center"/>
          </w:tcPr>
          <w:p>
            <w:pPr>
              <w:jc w:val="left"/>
            </w:pPr>
            <w:r>
              <w:rPr>
                <w:sz w:val="18"/>
              </w:rPr>
              <w:t>Leads technical delivery across multiple components or an important service.</w:t>
            </w:r>
          </w:p>
        </w:tc>
        <w:tc>
          <w:tcPr>
            <w:tcW w:type="dxa" w:w="2880"/>
            <w:tcMar>
              <w:top w:w="90" w:type="dxa"/>
              <w:start w:w="100" w:type="dxa"/>
              <w:bottom w:w="90" w:type="dxa"/>
              <w:end w:w="100" w:type="dxa"/>
            </w:tcMar>
            <w:vAlign w:val="center"/>
          </w:tcPr>
          <w:p>
            <w:pPr>
              <w:jc w:val="left"/>
            </w:pPr>
            <w:r>
              <w:rPr>
                <w:sz w:val="18"/>
              </w:rPr>
              <w:t>Resolves ambiguity, mentors others, and raises the engineering bar.</w:t>
            </w:r>
          </w:p>
        </w:tc>
      </w:tr>
      <w:tr>
        <w:tc>
          <w:tcPr>
            <w:tcW w:type="dxa" w:w="1080"/>
            <w:tcMar>
              <w:top w:w="90" w:type="dxa"/>
              <w:start w:w="100" w:type="dxa"/>
              <w:bottom w:w="90" w:type="dxa"/>
              <w:end w:w="100" w:type="dxa"/>
            </w:tcMar>
            <w:vAlign w:val="center"/>
          </w:tcPr>
          <w:p>
            <w:pPr>
              <w:jc w:val="center"/>
            </w:pPr>
            <w:r>
              <w:rPr>
                <w:sz w:val="18"/>
              </w:rPr>
              <w:t>SE4</w:t>
            </w:r>
          </w:p>
        </w:tc>
        <w:tc>
          <w:tcPr>
            <w:tcW w:type="dxa" w:w="2376"/>
            <w:tcMar>
              <w:top w:w="90" w:type="dxa"/>
              <w:start w:w="100" w:type="dxa"/>
              <w:bottom w:w="90" w:type="dxa"/>
              <w:end w:w="100" w:type="dxa"/>
            </w:tcMar>
            <w:vAlign w:val="center"/>
          </w:tcPr>
          <w:p>
            <w:pPr>
              <w:jc w:val="left"/>
            </w:pPr>
            <w:r>
              <w:rPr>
                <w:sz w:val="18"/>
              </w:rPr>
              <w:t>Lead Software Engineer / Staff Engineer</w:t>
            </w:r>
          </w:p>
        </w:tc>
        <w:tc>
          <w:tcPr>
            <w:tcW w:type="dxa" w:w="3528"/>
            <w:tcMar>
              <w:top w:w="90" w:type="dxa"/>
              <w:start w:w="100" w:type="dxa"/>
              <w:bottom w:w="90" w:type="dxa"/>
              <w:end w:w="100" w:type="dxa"/>
            </w:tcMar>
            <w:vAlign w:val="center"/>
          </w:tcPr>
          <w:p>
            <w:pPr>
              <w:jc w:val="left"/>
            </w:pPr>
            <w:r>
              <w:rPr>
                <w:sz w:val="18"/>
              </w:rPr>
              <w:t>Sets technical direction for a domain and drives cross-team design alignment.</w:t>
            </w:r>
          </w:p>
        </w:tc>
        <w:tc>
          <w:tcPr>
            <w:tcW w:type="dxa" w:w="2880"/>
            <w:tcMar>
              <w:top w:w="90" w:type="dxa"/>
              <w:start w:w="100" w:type="dxa"/>
              <w:bottom w:w="90" w:type="dxa"/>
              <w:end w:w="100" w:type="dxa"/>
            </w:tcMar>
            <w:vAlign w:val="center"/>
          </w:tcPr>
          <w:p>
            <w:pPr>
              <w:jc w:val="left"/>
            </w:pPr>
            <w:r>
              <w:rPr>
                <w:sz w:val="18"/>
              </w:rPr>
              <w:t>Influences architecture, standards, and incident prevention at scale.</w:t>
            </w:r>
          </w:p>
        </w:tc>
      </w:tr>
      <w:tr>
        <w:tc>
          <w:tcPr>
            <w:tcW w:type="dxa" w:w="1080"/>
            <w:tcMar>
              <w:top w:w="90" w:type="dxa"/>
              <w:start w:w="100" w:type="dxa"/>
              <w:bottom w:w="90" w:type="dxa"/>
              <w:end w:w="100" w:type="dxa"/>
            </w:tcMar>
            <w:vAlign w:val="center"/>
          </w:tcPr>
          <w:p>
            <w:pPr>
              <w:jc w:val="center"/>
            </w:pPr>
            <w:r>
              <w:rPr>
                <w:sz w:val="18"/>
              </w:rPr>
              <w:t>SE5</w:t>
            </w:r>
          </w:p>
        </w:tc>
        <w:tc>
          <w:tcPr>
            <w:tcW w:type="dxa" w:w="2376"/>
            <w:tcMar>
              <w:top w:w="90" w:type="dxa"/>
              <w:start w:w="100" w:type="dxa"/>
              <w:bottom w:w="90" w:type="dxa"/>
              <w:end w:w="100" w:type="dxa"/>
            </w:tcMar>
            <w:vAlign w:val="center"/>
          </w:tcPr>
          <w:p>
            <w:pPr>
              <w:jc w:val="left"/>
            </w:pPr>
            <w:r>
              <w:rPr>
                <w:sz w:val="18"/>
              </w:rPr>
              <w:t>Principal Engineer</w:t>
            </w:r>
          </w:p>
        </w:tc>
        <w:tc>
          <w:tcPr>
            <w:tcW w:type="dxa" w:w="3528"/>
            <w:tcMar>
              <w:top w:w="90" w:type="dxa"/>
              <w:start w:w="100" w:type="dxa"/>
              <w:bottom w:w="90" w:type="dxa"/>
              <w:end w:w="100" w:type="dxa"/>
            </w:tcMar>
            <w:vAlign w:val="center"/>
          </w:tcPr>
          <w:p>
            <w:pPr>
              <w:jc w:val="left"/>
            </w:pPr>
            <w:r>
              <w:rPr>
                <w:sz w:val="18"/>
              </w:rPr>
              <w:t>Shapes platform strategy and enterprise-level engineering decisions.</w:t>
            </w:r>
          </w:p>
        </w:tc>
        <w:tc>
          <w:tcPr>
            <w:tcW w:type="dxa" w:w="2880"/>
            <w:tcMar>
              <w:top w:w="90" w:type="dxa"/>
              <w:start w:w="100" w:type="dxa"/>
              <w:bottom w:w="90" w:type="dxa"/>
              <w:end w:w="100" w:type="dxa"/>
            </w:tcMar>
            <w:vAlign w:val="center"/>
          </w:tcPr>
          <w:p>
            <w:pPr>
              <w:jc w:val="left"/>
            </w:pPr>
            <w:r>
              <w:rPr>
                <w:sz w:val="18"/>
              </w:rPr>
              <w:t>Creates reusable approaches and influences multiple organizations.</w:t>
            </w:r>
          </w:p>
        </w:tc>
      </w:tr>
    </w:tbl>
    <w:p>
      <w:pPr>
        <w:pStyle w:val="SectionHeading"/>
      </w:pPr>
      <w:r>
        <w:t>Core dimensions used in level calibration</w:t>
      </w:r>
    </w:p>
    <w:p>
      <w:pPr>
        <w:pStyle w:val="Compact"/>
      </w:pPr>
      <w:r>
        <w:rPr>
          <w:b/>
        </w:rPr>
        <w:t xml:space="preserve">Implementation quality: </w:t>
      </w:r>
      <w:r>
        <w:t>Writes maintainable, testable, secure code and supports it in production.</w:t>
      </w:r>
    </w:p>
    <w:p>
      <w:pPr>
        <w:pStyle w:val="Compact"/>
      </w:pPr>
      <w:r>
        <w:rPr>
          <w:b/>
        </w:rPr>
        <w:t xml:space="preserve">System understanding: </w:t>
      </w:r>
      <w:r>
        <w:t>Understands component interactions, dependencies, and operational behavior.</w:t>
      </w:r>
    </w:p>
    <w:p>
      <w:pPr>
        <w:pStyle w:val="Compact"/>
      </w:pPr>
      <w:r>
        <w:rPr>
          <w:b/>
        </w:rPr>
        <w:t xml:space="preserve">Technical decision making: </w:t>
      </w:r>
      <w:r>
        <w:t>Chooses sensible design options and explains tradeoffs clearly.</w:t>
      </w:r>
    </w:p>
    <w:p>
      <w:pPr>
        <w:pStyle w:val="Compact"/>
      </w:pPr>
      <w:r>
        <w:rPr>
          <w:b/>
        </w:rPr>
        <w:t xml:space="preserve">Leadership through engineering: </w:t>
      </w:r>
      <w:r>
        <w:t>Raises the bar through reviews, mentoring, standards, and architecture influence.</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when engineers move from completing defined work to shaping technical direction and reducing system risk for others.</w:t>
      </w:r>
    </w:p>
    <w:p>
      <w:pPr>
        <w:pStyle w:val="BulletBody"/>
      </w:pPr>
      <w:r>
        <w:t xml:space="preserve">• </w:t>
      </w:r>
      <w:r>
        <w:t>Advancement requires stronger judgment, broader ownership, and a demonstrated ability to improve team productivity or reliability.</w:t>
      </w:r>
    </w:p>
    <w:p>
      <w:pPr>
        <w:pStyle w:val="BulletBody"/>
      </w:pPr>
      <w:r>
        <w:t xml:space="preserve">• </w:t>
      </w:r>
      <w:r>
        <w:t>Senior and staff levels are measured on technical leverage and influence, not only on volume of code shipped.</w:t>
      </w:r>
    </w:p>
    <w:p>
      <w:pPr>
        <w:pStyle w:val="BulletBody"/>
      </w:pPr>
      <w:r>
        <w:t xml:space="preserve">• </w:t>
      </w:r>
      <w:r>
        <w:t>Strong written and spoken English is often important because many teams collaborate across regions. Local language use may support in-country coordination, but progression standards remain role-based and impact-based.</w:t>
      </w:r>
    </w:p>
    <w:p>
      <w:pPr>
        <w:pStyle w:val="BulletBody"/>
      </w:pPr>
      <w:r>
        <w:t xml:space="preserve">• </w:t>
      </w:r>
      <w:r>
        <w:t>Local hiring labels can vary by team. Internal career movement should continue to use consistent scope and performance expectations across functions.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SE1 — Software Engineer I. </w:t>
      </w:r>
      <w:r>
        <w:t>Produces correct, maintainable code, learns team systems quickly, and handles feedback professionally.</w:t>
      </w:r>
    </w:p>
    <w:p>
      <w:pPr>
        <w:pStyle w:val="Compact"/>
      </w:pPr>
      <w:r>
        <w:rPr>
          <w:b/>
        </w:rPr>
        <w:t xml:space="preserve">SE2 — Software Engineer II. </w:t>
      </w:r>
      <w:r>
        <w:t>Owns components, debugs effectively, and improves quality or developer efficiency through practical engineering choices.</w:t>
      </w:r>
    </w:p>
    <w:p>
      <w:pPr>
        <w:pStyle w:val="Compact"/>
      </w:pPr>
      <w:r>
        <w:rPr>
          <w:b/>
        </w:rPr>
        <w:t xml:space="preserve">SE3 — Senior Software Engineer. </w:t>
      </w:r>
      <w:r>
        <w:t>Leads meaningful technical delivery, mentors others, and reduces system risk through design and operational improvements.</w:t>
      </w:r>
    </w:p>
    <w:p>
      <w:pPr>
        <w:pStyle w:val="Compact"/>
      </w:pPr>
      <w:r>
        <w:rPr>
          <w:b/>
        </w:rPr>
        <w:t xml:space="preserve">SE4 — Lead Software Engineer / Staff Engineer. </w:t>
      </w:r>
      <w:r>
        <w:t>Sets technical direction across a domain, aligns designs, and increases leverage for multiple teams.</w:t>
      </w:r>
    </w:p>
    <w:p>
      <w:pPr>
        <w:pStyle w:val="Compact"/>
      </w:pPr>
      <w:r>
        <w:rPr>
          <w:b/>
        </w:rPr>
        <w:t xml:space="preserve">SE5 — Principal Engineer. </w:t>
      </w:r>
      <w:r>
        <w:t>Creates platform or architectural influence at enterprise scale and shapes long-horizon engineering decisions.</w:t>
      </w:r>
    </w:p>
    <w:p>
      <w:pPr>
        <w:pStyle w:val="SectionHeading"/>
      </w:pPr>
      <w:r>
        <w:t>Illustrative examples in this country context</w:t>
      </w:r>
    </w:p>
    <w:p>
      <w:pPr>
        <w:pStyle w:val="BulletBody"/>
      </w:pPr>
      <w:r>
        <w:t xml:space="preserve">• </w:t>
      </w:r>
      <w:r>
        <w:t>A Business Analyst I may document an as-is process, clarify approval gaps, and support a team lead in translating them into structured requirements.</w:t>
      </w:r>
    </w:p>
    <w:p>
      <w:pPr>
        <w:pStyle w:val="BulletBody"/>
      </w:pPr>
      <w:r>
        <w:t xml:space="preserve">• </w:t>
      </w:r>
      <w:r>
        <w:t>A Senior Software Engineer may lead a major service hardening effort and coach engineers on root-cause analysis and runbook quality.</w:t>
      </w:r>
    </w:p>
    <w:p>
      <w:pPr>
        <w:pStyle w:val="BulletBody"/>
      </w:pPr>
      <w:r>
        <w:t xml:space="preserve">• </w:t>
      </w:r>
      <w:r>
        <w:t>A Data Analyst II may improve recurring leadership reporting by standardizing data checks and reducing last-minute manual corrections.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Design notes, architecture proposals, or migration plans</w:t>
      </w:r>
    </w:p>
    <w:p>
      <w:pPr>
        <w:pStyle w:val="BulletBody"/>
      </w:pPr>
      <w:r>
        <w:t xml:space="preserve">• </w:t>
      </w:r>
      <w:r>
        <w:t>Examples of reliability improvements, test strategy, or incident prevention</w:t>
      </w:r>
    </w:p>
    <w:p>
      <w:pPr>
        <w:pStyle w:val="BulletBody"/>
      </w:pPr>
      <w:r>
        <w:t xml:space="preserve">• </w:t>
      </w:r>
      <w:r>
        <w:t>Peer coaching, code review quality, and technical standards adopted by the team</w:t>
      </w:r>
    </w:p>
    <w:p>
      <w:pPr>
        <w:pStyle w:val="BulletBody"/>
      </w:pPr>
      <w:r>
        <w:t xml:space="preserve">• </w:t>
      </w:r>
      <w:r>
        <w:t>Evidence that the engineer made the system easier to change, monitor, or support</w:t>
      </w:r>
    </w:p>
    <w:p>
      <w:pPr>
        <w:pStyle w:val="Compact"/>
      </w:pPr>
      <w:r>
        <w:rPr>
          <w:b/>
        </w:rPr>
        <w:t xml:space="preserve">Internal mobility. </w:t>
      </w:r>
      <w:r>
        <w:t>Software Engineers may move across application, platform, data, automation, or integration teams when they demonstrate sufficient system understanding, learning agility, and delivery discipline.</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Pakistan Career Architecture | Career Architecture - Software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