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Benefits Eligibility Overview</w:t>
      </w:r>
    </w:p>
    <w:p>
      <w:r>
        <w:t>US-HR-011  |  Category: Benefits  |  Version 3.0</w:t>
      </w:r>
    </w:p>
    <w:p>
      <w:r>
        <w:t>Policy owner: benefits@company.com  |  Related documents: US-HR-012, US-HR-013, US-HR-014, US-HR-015</w:t>
      </w:r>
    </w:p>
    <w:p>
      <w:pPr>
        <w:pStyle w:val="Heading1"/>
      </w:pPr>
      <w:r>
        <w:t>Policy Summary</w:t>
      </w:r>
    </w:p>
    <w:p>
      <w:r>
        <w:t>This document explains the company's approach to benefits eligibility overview.</w:t>
      </w:r>
    </w:p>
    <w:p>
      <w:r>
        <w:t>Questions about this document should be sent to benefits@company.com.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regularly scheduled to work at least 30 hours per week are generally eligible for company-sponsored benefits beginning on the first day of the month following hire. Temporary agency workers, interns, and contractors are not eligible unless a plan document, offer letter, or law says otherwise.</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Covered Programs</w:t>
      </w:r>
    </w:p>
    <w:p>
      <w:r>
        <w:t>The standard U.S. benefits package may include medical, dental, and vision coverage; an employee assistance program; a 401(k) plan; basic life and disability coverage; and access to statutory leave and insurance programs.</w:t>
      </w:r>
    </w:p>
    <w:p>
      <w:r>
        <w:t>Dependent eligibility generally includes a legal spouse and eligible children up to age 26 under the medical plan. Domestic partner coverage is available only where the plan design allows it.</w:t>
      </w:r>
    </w:p>
    <w:p>
      <w:pPr>
        <w:pStyle w:val="Heading1"/>
      </w:pPr>
      <w:r>
        <w:t>Operational Rules</w:t>
      </w:r>
    </w:p>
    <w:p>
      <w:r>
        <w:t>New hires must complete enrollment within 30 calendar days of the date of hire. If no election is made, default rules in the local plan guide apply and some coverages may be deferred until the next annual enrollment period.</w:t>
      </w:r>
    </w:p>
    <w:p>
      <w:r>
        <w:t>Questions about claims, coverage, or network providers should go first to the insurer or administrator, while questions about eligibility, payroll deductions, and onboarding timing should go to benefits@company.com.</w:t>
      </w:r>
    </w:p>
    <w:p>
      <w:pPr>
        <w:pStyle w:val="Heading1"/>
      </w:pPr>
      <w:r>
        <w:t>Examples</w:t>
      </w:r>
    </w:p>
    <w:p>
      <w:r>
        <w:t>A full-time employee hired on April 10 becomes eligible under the base policy on May 1 and must complete benefit elections within the stated new-hire enrollment window.</w:t>
      </w:r>
    </w:p>
    <w:p>
      <w:r>
        <w:t>A contractor working through an external staffing agency should not be enrolled in employee plans unless a local legal arrangement specifically requires it.</w:t>
      </w:r>
    </w:p>
    <w:p>
      <w:pPr>
        <w:pStyle w:val="Heading1"/>
      </w:pPr>
      <w:r>
        <w:t>Governance</w:t>
      </w:r>
    </w:p>
    <w:p>
      <w:r>
        <w:t>This document should be read together with US-HR-012, US-HR-013, US-HR-014, US-HR-015.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