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Parental Leave Policy</w:t>
      </w:r>
    </w:p>
    <w:p>
      <w:r>
        <w:t>US-HR-018  |  Category: Leave  |  Version 3.0</w:t>
      </w:r>
    </w:p>
    <w:p>
      <w:r>
        <w:t>Policy owner: peopleteam@company.com  |  Related documents: US-HR-012, US-HR-020, US-HR-021, US-HR-047</w:t>
      </w:r>
    </w:p>
    <w:p>
      <w:pPr>
        <w:pStyle w:val="Heading1"/>
      </w:pPr>
      <w:r>
        <w:t>Policy Summary</w:t>
      </w:r>
    </w:p>
    <w:p>
      <w:r>
        <w:t>This policy sets out the company's rules, responsibilities, and approval requirements for parental leave.</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Eligible employees may take up to 12 weeks of paid parental leave following the birth, adoption, or foster placement of a child. The baseline U.S. policy is caregiver-neutral and applies to all eligible parents.</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submit parental leave requests through the HRIS when available; questions about eligibility, timing, or documentation can be sent to peopleteam@company.com.</w:t>
      </w:r>
    </w:p>
    <w:p>
      <w:pPr>
        <w:pStyle w:val="Heading1"/>
      </w:pPr>
      <w:r>
        <w:t>Eligibility and Timing</w:t>
      </w:r>
    </w:p>
    <w:p>
      <w:r>
        <w:t>Parental leave is available to employees who have completed six months of service by the expected start of leave, unless a federal, state, or local rule provides earlier eligibility. Leave should normally be taken within 12 months of the qualifying event.</w:t>
      </w:r>
    </w:p>
    <w:p>
      <w:r>
        <w:t>Employees should give at least 30 days of notice when the event is foreseeable. If the event is not foreseeable, notice should be given as soon as practical.</w:t>
      </w:r>
    </w:p>
    <w:p>
      <w:pPr>
        <w:pStyle w:val="Heading1"/>
      </w:pPr>
      <w:r>
        <w:t>Pay and Coordination</w:t>
      </w:r>
    </w:p>
    <w:p>
      <w:r>
        <w:t>Parental leave is coordinated with pregnancy-related disability leave, state paid family leave, and unpaid federal or state family leave where applicable. Company-provided paid parental leave does not stack on top of other wage-replacement benefits beyond regular base pay.</w:t>
      </w:r>
    </w:p>
    <w:p>
      <w:r>
        <w:t>Benefits continue during paid parental leave on the same basis as active employment. PTO does not accrue during unpaid portions of leave unless a state law or written plan rule requires a different treatment.</w:t>
      </w:r>
    </w:p>
    <w:p>
      <w:pPr>
        <w:pStyle w:val="Heading1"/>
      </w:pPr>
      <w:r>
        <w:t>Examples</w:t>
      </w:r>
    </w:p>
    <w:p>
      <w:r>
        <w:t>An employee who welcomes a child through birth or adoption may take up to 12 weeks of paid parental leave under the company baseline. If state paid family leave benefits apply, the company coordinates payment so total wage replacement does not exceed 100 percent of regular base pay.</w:t>
      </w:r>
    </w:p>
    <w:p>
      <w:r>
        <w:t>A parent who needs additional medically supported recovery time may also qualify for disability leave, unpaid family leave, or an accommodation review under the applicable U.S. policy framework.</w:t>
      </w:r>
    </w:p>
    <w:p>
      <w:pPr>
        <w:pStyle w:val="Heading1"/>
      </w:pPr>
      <w:r>
        <w:t>Governance</w:t>
      </w:r>
    </w:p>
    <w:p>
      <w:r>
        <w:t>This document should be read together with US-HR-012, US-HR-020, US-HR-021,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