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Holiday Observance Policy</w:t>
      </w:r>
    </w:p>
    <w:p>
      <w:r>
        <w:t>US-HR-022  |  Category: Leave  |  Version 3.0</w:t>
      </w:r>
    </w:p>
    <w:p>
      <w:r>
        <w:t>Policy owner: peopleteam@company.com  |  Related documents: US-HR-016, US-HR-020, US-HR-038</w:t>
      </w:r>
    </w:p>
    <w:p>
      <w:pPr>
        <w:pStyle w:val="Heading1"/>
      </w:pPr>
      <w:r>
        <w:t>Policy Summary</w:t>
      </w:r>
    </w:p>
    <w:p>
      <w:r>
        <w:t>This policy sets out the company's rules, responsibilities, and approval requirements for U.S. holiday observance.</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U.S. holiday calendar normally includes 10 paid company holidays plus one floating holiday each calendar year. A published calendar lists the observed dates and any business-unit substitutions.</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Questions about U.S. holiday calendars, floating holidays, observed dates, or local site schedules can be sent to peopleteam@company.com.</w:t>
      </w:r>
    </w:p>
    <w:p>
      <w:pPr>
        <w:pStyle w:val="Heading1"/>
      </w:pPr>
      <w:r>
        <w:t>Holiday Administration</w:t>
      </w:r>
    </w:p>
    <w:p>
      <w:r>
        <w:t>The U.S. holiday calendar is published before the start of each calendar year. When a holiday falls on a weekend, the company normally observes it on the nearest business day listed in the payroll calendar.</w:t>
      </w:r>
    </w:p>
    <w:p>
      <w:r>
        <w:t>Employees required to work on a designated company holiday should receive substitute time off or premium pay as required by law and the payroll policy.</w:t>
      </w:r>
    </w:p>
    <w:p>
      <w:pPr>
        <w:pStyle w:val="Heading1"/>
      </w:pPr>
      <w:r>
        <w:t>Examples</w:t>
      </w:r>
    </w:p>
    <w:p>
      <w:r>
        <w:t>If Independence Day falls on a weekend, the company may observe the holiday on the nearest business day shown in the annual calendar. Site-based teams should follow the published local schedule.</w:t>
      </w:r>
    </w:p>
    <w:p>
      <w:r>
        <w:t>A support team that must cover Thanksgiving week should rotate coverage fairly and document any substitute day off in timekeeping.</w:t>
      </w:r>
    </w:p>
    <w:p>
      <w:pPr>
        <w:pStyle w:val="Heading1"/>
      </w:pPr>
      <w:r>
        <w:t>Governance</w:t>
      </w:r>
    </w:p>
    <w:p>
      <w:r>
        <w:t>This document should be read together with US-HR-016, US-HR-020, US-HR-038.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