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Expense Reimbursement Policy</w:t>
      </w:r>
    </w:p>
    <w:p>
      <w:r>
        <w:t>US-HR-025  |  Category: Payroll  |  Version 3.0</w:t>
      </w:r>
    </w:p>
    <w:p>
      <w:r>
        <w:t>Policy owner: payroll@company.com  |  Related documents: US-HR-024, US-HR-026, US-HR-049</w:t>
      </w:r>
    </w:p>
    <w:p>
      <w:pPr>
        <w:pStyle w:val="Heading1"/>
      </w:pPr>
      <w:r>
        <w:t>Policy Summary</w:t>
      </w:r>
    </w:p>
    <w:p>
      <w:r>
        <w:t>This policy sets out the company's rules, responsibilities, and approval requirements for expense reimbursement.</w:t>
      </w:r>
    </w:p>
    <w:p>
      <w:r>
        <w:t>Questions about this document should be sent to payroll@company.com.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must submit reimbursable expenses within 45 calendar days of the expense date. Required receipts for corporate-card purchases must be uploaded within 10 calendar days. Reimbursable expenses must be reasonable, business-related, and supported by a clear business purpose.</w:t>
      </w:r>
    </w:p>
    <w:p>
      <w:pPr>
        <w:pStyle w:val="Heading2"/>
      </w:pPr>
      <w:r>
        <w:t>Quick Reference</w:t>
      </w:r>
    </w:p>
    <w:p>
      <w:pPr>
        <w:pStyle w:val="ListBullet"/>
      </w:pPr>
      <w:r>
        <w:t>Questions: payroll@company.com</w:t>
      </w:r>
    </w:p>
    <w:p>
      <w:pPr>
        <w:pStyle w:val="ListBullet"/>
      </w:pPr>
      <w:r>
        <w:t>Regular payroll date: the last working day of each month</w:t>
      </w:r>
    </w:p>
    <w:p>
      <w:pPr>
        <w:pStyle w:val="ListBullet"/>
      </w:pPr>
      <w:r>
        <w:t>Off-cycle corrections are reserved for validated urgent issues.</w:t>
      </w:r>
    </w:p>
    <w:p>
      <w:pPr>
        <w:pStyle w:val="Heading1"/>
      </w:pPr>
      <w:r>
        <w:t>Expense Reimbursement</w:t>
      </w:r>
    </w:p>
    <w:p>
      <w:r>
        <w:t>Personal commuting, traffic fines, alcohol without approved client context, and room-service entertainment are normally not reimbursable. Mileage for approved use of a personal vehicle is reimbursed at 0.50 per mile or the local statutory rate, whichever is greater.</w:t>
      </w:r>
    </w:p>
    <w:p>
      <w:r>
        <w:t>Example: Taxi fare to a late-night airport after approved travel is reimbursable; an upgraded seat for personal comfort without business justification is usually not.</w:t>
      </w:r>
    </w:p>
    <w:p>
      <w:pPr>
        <w:pStyle w:val="Heading1"/>
      </w:pPr>
      <w:r>
        <w:t>Governance</w:t>
      </w:r>
    </w:p>
    <w:p>
      <w:r>
        <w:t>This document should be read together with US-HR-024, US-HR-026, US-HR-049.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