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Onboarding First 30 Days Policy</w:t>
      </w:r>
    </w:p>
    <w:p>
      <w:r>
        <w:t>US-HR-034  |  Category: Onboarding  |  Version 3.0</w:t>
      </w:r>
    </w:p>
    <w:p>
      <w:r>
        <w:t>Policy owner: onboarding@company.com  |  Related documents: US-HR-033, US-HR-035, US-HR-039, US-HR-049</w:t>
      </w:r>
    </w:p>
    <w:p>
      <w:pPr>
        <w:pStyle w:val="Heading1"/>
      </w:pPr>
      <w:r>
        <w:t>Policy Summary</w:t>
      </w:r>
    </w:p>
    <w:p>
      <w:r>
        <w:t>This policy sets out the company's rules, responsibilities, and approval requirements for onboarding first 30 days.</w:t>
      </w:r>
    </w:p>
    <w:p>
      <w:r>
        <w:t>Questions about this document should be sent to onboarding@company.com. When a matter spans more than one process, the receiving team may coordinate with the relevant function named in the related documents.</w:t>
      </w:r>
    </w:p>
    <w:p>
      <w:r>
        <w:t>Applicable federal, state, and local law, current plan documents, and individual contractual terms override this document where they provide greater protection or require a different process.</w:t>
      </w:r>
    </w:p>
    <w:p>
      <w:r>
        <w:t>The first 30 days should include role expectations, completion of tax and employment-eligibility setup, compliance training, systems access, team introductions, and a check-in schedule. Managers own role clarity; onboarding owns process coordination; IT owns access according to US-HR-039.</w:t>
      </w:r>
    </w:p>
    <w:p>
      <w:pPr>
        <w:pStyle w:val="Heading2"/>
      </w:pPr>
      <w:r>
        <w:t>Quick Reference</w:t>
      </w:r>
    </w:p>
    <w:p>
      <w:pPr>
        <w:pStyle w:val="ListBullet"/>
      </w:pPr>
      <w:r>
        <w:t>Questions: onboarding@company.com</w:t>
      </w:r>
    </w:p>
    <w:p>
      <w:pPr>
        <w:pStyle w:val="ListBullet"/>
      </w:pPr>
      <w:r>
        <w:t>Escalate sensitive matters on the same business day.</w:t>
      </w:r>
    </w:p>
    <w:p>
      <w:pPr>
        <w:pStyle w:val="ListBullet"/>
      </w:pPr>
      <w:r>
        <w:t>Document decisions that affect pay, access, leave, or employment status.</w:t>
      </w:r>
    </w:p>
    <w:p>
      <w:pPr>
        <w:pStyle w:val="Heading1"/>
      </w:pPr>
      <w:r>
        <w:t>Onboarding First 30 Days</w:t>
      </w:r>
    </w:p>
    <w:p>
      <w:r>
        <w:t>New hires should receive a written first-week plan and a manager check-in during week 1, week 2, and week 4. Required forms, direct-deposit setup, and benefits enrollment should be completed within the published deadlines.</w:t>
      </w:r>
    </w:p>
    <w:p>
      <w:r>
        <w:t>Example: If a new hire cannot access core systems by day 2, the manager should email itsupport@company.com rather than relying on informal chat requests.</w:t>
      </w:r>
    </w:p>
    <w:p>
      <w:pPr>
        <w:pStyle w:val="Heading1"/>
      </w:pPr>
      <w:r>
        <w:t>Governance</w:t>
      </w:r>
    </w:p>
    <w:p>
      <w:r>
        <w:t>This document should be read together with US-HR-033, US-HR-035, US-HR-039, US-HR-049.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federal, state, and local legal requirements.</w:t>
      </w:r>
    </w:p>
    <w:p>
      <w:pPr>
        <w:pStyle w:val="Heading1"/>
      </w:pPr>
      <w:r>
        <w:t>Illustrative FAQ</w:t>
      </w:r>
    </w:p>
    <w:p>
      <w:pPr>
        <w:pStyle w:val="ListBullet"/>
      </w:pPr>
      <w:r>
        <w:t>Who should I contact first? Start with onboarding@company.com.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federal, state, or local law conflicts with this document? The stricter legal requirement, current plan document, or written local supplement controls. Employees and managers should follow the applicable U.S. rule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