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Pay, Asset Return, and Separation Policy</w:t>
      </w:r>
    </w:p>
    <w:p>
      <w:r>
        <w:t>US-HR-048  |  Category: Offboarding  |  Version 3.0</w:t>
      </w:r>
    </w:p>
    <w:p>
      <w:r>
        <w:t>Policy owner: peopleteam@company.com  |  Related documents: US-HR-023, US-HR-024, US-HR-047</w:t>
      </w:r>
    </w:p>
    <w:p>
      <w:pPr>
        <w:pStyle w:val="Heading1"/>
      </w:pPr>
      <w:r>
        <w:t>Policy Summary</w:t>
      </w:r>
    </w:p>
    <w:p>
      <w:r>
        <w:t>This policy sets out the company's rules, responsibilities, and approval requirements for final pay, asset return, and separation.</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Final pay is processed according to applicable state law and payroll capability. It generally includes earned salary through the separation date, payable accrued PTO where required by state law or written policy, approved unreimbursed expenses, and lawful deductions.</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Final Pay, Asset Return, and Separation</w:t>
      </w:r>
    </w:p>
    <w:p>
      <w:r>
        <w:t>The company should explain clearly whether unused PTO is paid out in the employee's state and whether the timing of final pay is accelerated because of termination, resignation, or a state-specific rule.</w:t>
      </w:r>
    </w:p>
    <w:p>
      <w:r>
        <w:t>Example: If an employee separates in a state that requires prompt final wages, payroll may need to issue an off-cycle payment instead of waiting for the next scheduled semimonthly cycle.</w:t>
      </w:r>
    </w:p>
    <w:p>
      <w:pPr>
        <w:pStyle w:val="Heading1"/>
      </w:pPr>
      <w:r>
        <w:t>Governance</w:t>
      </w:r>
    </w:p>
    <w:p>
      <w:r>
        <w:t>This document should be read together with US-HR-023, US-HR-024, US-HR-047.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