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Scientist</w:t>
      </w:r>
    </w:p>
    <w:p>
      <w:pPr>
        <w:pStyle w:val="DocSubtitle"/>
      </w:pPr>
      <w:r>
        <w:t>United States | Job family: Data Science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Scientist job family. It covers exploratory analysis, experimentation, model development, deployment readiness, and the increasing need to connect scientific work to measurable business outcomes.</w:t>
      </w:r>
    </w:p>
    <w:p>
      <w:pPr>
        <w:pStyle w:val="Compact"/>
      </w:pPr>
      <w:r>
        <w:rPr>
          <w:b/>
        </w:rPr>
        <w:t xml:space="preserve">Country context. </w:t>
      </w:r>
      <w:r>
        <w:t>Career progression in the United States often places high weight on ownership, judgment, and cross-functional influence. Employees are expected to make clear decisions, document tradeoffs, and operate effectively in matrixed environments with varied stakeholders and rapidly changing priorities.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DS1</w:t>
            </w:r>
          </w:p>
        </w:tc>
        <w:tc>
          <w:tcPr>
            <w:tcW w:type="dxa" w:w="2376"/>
            <w:tcMar>
              <w:top w:w="90" w:type="dxa"/>
              <w:start w:w="100" w:type="dxa"/>
              <w:bottom w:w="90" w:type="dxa"/>
              <w:end w:w="100" w:type="dxa"/>
            </w:tcMar>
            <w:vAlign w:val="center"/>
          </w:tcPr>
          <w:p>
            <w:pPr>
              <w:jc w:val="left"/>
            </w:pPr>
            <w:r>
              <w:rPr>
                <w:sz w:val="18"/>
              </w:rPr>
              <w:t>Data Scientist I</w:t>
            </w:r>
          </w:p>
        </w:tc>
        <w:tc>
          <w:tcPr>
            <w:tcW w:type="dxa" w:w="3528"/>
            <w:tcMar>
              <w:top w:w="90" w:type="dxa"/>
              <w:start w:w="100" w:type="dxa"/>
              <w:bottom w:w="90" w:type="dxa"/>
              <w:end w:w="100" w:type="dxa"/>
            </w:tcMar>
            <w:vAlign w:val="center"/>
          </w:tcPr>
          <w:p>
            <w:pPr>
              <w:jc w:val="left"/>
            </w:pPr>
            <w:r>
              <w:rPr>
                <w:sz w:val="18"/>
              </w:rPr>
              <w:t>Builds exploratory analyses and simple models with defined support.</w:t>
            </w:r>
          </w:p>
        </w:tc>
        <w:tc>
          <w:tcPr>
            <w:tcW w:type="dxa" w:w="2880"/>
            <w:tcMar>
              <w:top w:w="90" w:type="dxa"/>
              <w:start w:w="100" w:type="dxa"/>
              <w:bottom w:w="90" w:type="dxa"/>
              <w:end w:w="100" w:type="dxa"/>
            </w:tcMar>
            <w:vAlign w:val="center"/>
          </w:tcPr>
          <w:p>
            <w:pPr>
              <w:jc w:val="left"/>
            </w:pPr>
            <w:r>
              <w:rPr>
                <w:sz w:val="18"/>
              </w:rPr>
              <w:t>Executes reproducible experiments and documents assumptions clearly.</w:t>
            </w:r>
          </w:p>
        </w:tc>
      </w:tr>
      <w:tr>
        <w:tc>
          <w:tcPr>
            <w:tcW w:type="dxa" w:w="1080"/>
            <w:tcMar>
              <w:top w:w="90" w:type="dxa"/>
              <w:start w:w="100" w:type="dxa"/>
              <w:bottom w:w="90" w:type="dxa"/>
              <w:end w:w="100" w:type="dxa"/>
            </w:tcMar>
            <w:vAlign w:val="center"/>
          </w:tcPr>
          <w:p>
            <w:pPr>
              <w:jc w:val="center"/>
            </w:pPr>
            <w:r>
              <w:rPr>
                <w:sz w:val="18"/>
              </w:rPr>
              <w:t>DS2</w:t>
            </w:r>
          </w:p>
        </w:tc>
        <w:tc>
          <w:tcPr>
            <w:tcW w:type="dxa" w:w="2376"/>
            <w:tcMar>
              <w:top w:w="90" w:type="dxa"/>
              <w:start w:w="100" w:type="dxa"/>
              <w:bottom w:w="90" w:type="dxa"/>
              <w:end w:w="100" w:type="dxa"/>
            </w:tcMar>
            <w:vAlign w:val="center"/>
          </w:tcPr>
          <w:p>
            <w:pPr>
              <w:jc w:val="left"/>
            </w:pPr>
            <w:r>
              <w:rPr>
                <w:sz w:val="18"/>
              </w:rPr>
              <w:t>Data Scientist II</w:t>
            </w:r>
          </w:p>
        </w:tc>
        <w:tc>
          <w:tcPr>
            <w:tcW w:type="dxa" w:w="3528"/>
            <w:tcMar>
              <w:top w:w="90" w:type="dxa"/>
              <w:start w:w="100" w:type="dxa"/>
              <w:bottom w:w="90" w:type="dxa"/>
              <w:end w:w="100" w:type="dxa"/>
            </w:tcMar>
            <w:vAlign w:val="center"/>
          </w:tcPr>
          <w:p>
            <w:pPr>
              <w:jc w:val="left"/>
            </w:pPr>
            <w:r>
              <w:rPr>
                <w:sz w:val="18"/>
              </w:rPr>
              <w:t>Owns model features, experiment design, and impact measurement for a team.</w:t>
            </w:r>
          </w:p>
        </w:tc>
        <w:tc>
          <w:tcPr>
            <w:tcW w:type="dxa" w:w="2880"/>
            <w:tcMar>
              <w:top w:w="90" w:type="dxa"/>
              <w:start w:w="100" w:type="dxa"/>
              <w:bottom w:w="90" w:type="dxa"/>
              <w:end w:w="100" w:type="dxa"/>
            </w:tcMar>
            <w:vAlign w:val="center"/>
          </w:tcPr>
          <w:p>
            <w:pPr>
              <w:jc w:val="left"/>
            </w:pPr>
            <w:r>
              <w:rPr>
                <w:sz w:val="18"/>
              </w:rPr>
              <w:t>Connects statistical methods to business decisions and operational outcomes.</w:t>
            </w:r>
          </w:p>
        </w:tc>
      </w:tr>
      <w:tr>
        <w:tc>
          <w:tcPr>
            <w:tcW w:type="dxa" w:w="1080"/>
            <w:tcMar>
              <w:top w:w="90" w:type="dxa"/>
              <w:start w:w="100" w:type="dxa"/>
              <w:bottom w:w="90" w:type="dxa"/>
              <w:end w:w="100" w:type="dxa"/>
            </w:tcMar>
            <w:vAlign w:val="center"/>
          </w:tcPr>
          <w:p>
            <w:pPr>
              <w:jc w:val="center"/>
            </w:pPr>
            <w:r>
              <w:rPr>
                <w:sz w:val="18"/>
              </w:rPr>
              <w:t>DS3</w:t>
            </w:r>
          </w:p>
        </w:tc>
        <w:tc>
          <w:tcPr>
            <w:tcW w:type="dxa" w:w="2376"/>
            <w:tcMar>
              <w:top w:w="90" w:type="dxa"/>
              <w:start w:w="100" w:type="dxa"/>
              <w:bottom w:w="90" w:type="dxa"/>
              <w:end w:w="100" w:type="dxa"/>
            </w:tcMar>
            <w:vAlign w:val="center"/>
          </w:tcPr>
          <w:p>
            <w:pPr>
              <w:jc w:val="left"/>
            </w:pPr>
            <w:r>
              <w:rPr>
                <w:sz w:val="18"/>
              </w:rPr>
              <w:t>Senior Data Scientist</w:t>
            </w:r>
          </w:p>
        </w:tc>
        <w:tc>
          <w:tcPr>
            <w:tcW w:type="dxa" w:w="3528"/>
            <w:tcMar>
              <w:top w:w="90" w:type="dxa"/>
              <w:start w:w="100" w:type="dxa"/>
              <w:bottom w:w="90" w:type="dxa"/>
              <w:end w:w="100" w:type="dxa"/>
            </w:tcMar>
            <w:vAlign w:val="center"/>
          </w:tcPr>
          <w:p>
            <w:pPr>
              <w:jc w:val="left"/>
            </w:pPr>
            <w:r>
              <w:rPr>
                <w:sz w:val="18"/>
              </w:rPr>
              <w:t>Leads end-to-end modeling programs and production impact reviews.</w:t>
            </w:r>
          </w:p>
        </w:tc>
        <w:tc>
          <w:tcPr>
            <w:tcW w:type="dxa" w:w="2880"/>
            <w:tcMar>
              <w:top w:w="90" w:type="dxa"/>
              <w:start w:w="100" w:type="dxa"/>
              <w:bottom w:w="90" w:type="dxa"/>
              <w:end w:w="100" w:type="dxa"/>
            </w:tcMar>
            <w:vAlign w:val="center"/>
          </w:tcPr>
          <w:p>
            <w:pPr>
              <w:jc w:val="left"/>
            </w:pPr>
            <w:r>
              <w:rPr>
                <w:sz w:val="18"/>
              </w:rPr>
              <w:t>Chooses methods, drives model governance, and coaches peers on rigor.</w:t>
            </w:r>
          </w:p>
        </w:tc>
      </w:tr>
      <w:tr>
        <w:tc>
          <w:tcPr>
            <w:tcW w:type="dxa" w:w="1080"/>
            <w:tcMar>
              <w:top w:w="90" w:type="dxa"/>
              <w:start w:w="100" w:type="dxa"/>
              <w:bottom w:w="90" w:type="dxa"/>
              <w:end w:w="100" w:type="dxa"/>
            </w:tcMar>
            <w:vAlign w:val="center"/>
          </w:tcPr>
          <w:p>
            <w:pPr>
              <w:jc w:val="center"/>
            </w:pPr>
            <w:r>
              <w:rPr>
                <w:sz w:val="18"/>
              </w:rPr>
              <w:t>DS4</w:t>
            </w:r>
          </w:p>
        </w:tc>
        <w:tc>
          <w:tcPr>
            <w:tcW w:type="dxa" w:w="2376"/>
            <w:tcMar>
              <w:top w:w="90" w:type="dxa"/>
              <w:start w:w="100" w:type="dxa"/>
              <w:bottom w:w="90" w:type="dxa"/>
              <w:end w:w="100" w:type="dxa"/>
            </w:tcMar>
            <w:vAlign w:val="center"/>
          </w:tcPr>
          <w:p>
            <w:pPr>
              <w:jc w:val="left"/>
            </w:pPr>
            <w:r>
              <w:rPr>
                <w:sz w:val="18"/>
              </w:rPr>
              <w:t>Lead Data Scientist</w:t>
            </w:r>
          </w:p>
        </w:tc>
        <w:tc>
          <w:tcPr>
            <w:tcW w:type="dxa" w:w="3528"/>
            <w:tcMar>
              <w:top w:w="90" w:type="dxa"/>
              <w:start w:w="100" w:type="dxa"/>
              <w:bottom w:w="90" w:type="dxa"/>
              <w:end w:w="100" w:type="dxa"/>
            </w:tcMar>
            <w:vAlign w:val="center"/>
          </w:tcPr>
          <w:p>
            <w:pPr>
              <w:jc w:val="left"/>
            </w:pPr>
            <w:r>
              <w:rPr>
                <w:sz w:val="18"/>
              </w:rPr>
              <w:t>Sets applied science direction across related products or business domains.</w:t>
            </w:r>
          </w:p>
        </w:tc>
        <w:tc>
          <w:tcPr>
            <w:tcW w:type="dxa" w:w="2880"/>
            <w:tcMar>
              <w:top w:w="90" w:type="dxa"/>
              <w:start w:w="100" w:type="dxa"/>
              <w:bottom w:w="90" w:type="dxa"/>
              <w:end w:w="100" w:type="dxa"/>
            </w:tcMar>
            <w:vAlign w:val="center"/>
          </w:tcPr>
          <w:p>
            <w:pPr>
              <w:jc w:val="left"/>
            </w:pPr>
            <w:r>
              <w:rPr>
                <w:sz w:val="18"/>
              </w:rPr>
              <w:t>Balances experimentation, interpretability, and deployment constraints.</w:t>
            </w:r>
          </w:p>
        </w:tc>
      </w:tr>
      <w:tr>
        <w:tc>
          <w:tcPr>
            <w:tcW w:type="dxa" w:w="1080"/>
            <w:tcMar>
              <w:top w:w="90" w:type="dxa"/>
              <w:start w:w="100" w:type="dxa"/>
              <w:bottom w:w="90" w:type="dxa"/>
              <w:end w:w="100" w:type="dxa"/>
            </w:tcMar>
            <w:vAlign w:val="center"/>
          </w:tcPr>
          <w:p>
            <w:pPr>
              <w:jc w:val="center"/>
            </w:pPr>
            <w:r>
              <w:rPr>
                <w:sz w:val="18"/>
              </w:rPr>
              <w:t>DS5</w:t>
            </w:r>
          </w:p>
        </w:tc>
        <w:tc>
          <w:tcPr>
            <w:tcW w:type="dxa" w:w="2376"/>
            <w:tcMar>
              <w:top w:w="90" w:type="dxa"/>
              <w:start w:w="100" w:type="dxa"/>
              <w:bottom w:w="90" w:type="dxa"/>
              <w:end w:w="100" w:type="dxa"/>
            </w:tcMar>
            <w:vAlign w:val="center"/>
          </w:tcPr>
          <w:p>
            <w:pPr>
              <w:jc w:val="left"/>
            </w:pPr>
            <w:r>
              <w:rPr>
                <w:sz w:val="18"/>
              </w:rPr>
              <w:t>Principal Data Scientist</w:t>
            </w:r>
          </w:p>
        </w:tc>
        <w:tc>
          <w:tcPr>
            <w:tcW w:type="dxa" w:w="3528"/>
            <w:tcMar>
              <w:top w:w="90" w:type="dxa"/>
              <w:start w:w="100" w:type="dxa"/>
              <w:bottom w:w="90" w:type="dxa"/>
              <w:end w:w="100" w:type="dxa"/>
            </w:tcMar>
            <w:vAlign w:val="center"/>
          </w:tcPr>
          <w:p>
            <w:pPr>
              <w:jc w:val="left"/>
            </w:pPr>
            <w:r>
              <w:rPr>
                <w:sz w:val="18"/>
              </w:rPr>
              <w:t>Defines enterprise data science strategy and influences executive decisions.</w:t>
            </w:r>
          </w:p>
        </w:tc>
        <w:tc>
          <w:tcPr>
            <w:tcW w:type="dxa" w:w="2880"/>
            <w:tcMar>
              <w:top w:w="90" w:type="dxa"/>
              <w:start w:w="100" w:type="dxa"/>
              <w:bottom w:w="90" w:type="dxa"/>
              <w:end w:w="100" w:type="dxa"/>
            </w:tcMar>
            <w:vAlign w:val="center"/>
          </w:tcPr>
          <w:p>
            <w:pPr>
              <w:jc w:val="left"/>
            </w:pPr>
            <w:r>
              <w:rPr>
                <w:sz w:val="18"/>
              </w:rPr>
              <w:t>Creates reusable methods and standards across multiple science teams.</w:t>
            </w:r>
          </w:p>
        </w:tc>
      </w:tr>
    </w:tbl>
    <w:p>
      <w:pPr>
        <w:pStyle w:val="SectionHeading"/>
      </w:pPr>
      <w:r>
        <w:t>Core dimensions used in level calibration</w:t>
      </w:r>
    </w:p>
    <w:p>
      <w:pPr>
        <w:pStyle w:val="Compact"/>
      </w:pPr>
      <w:r>
        <w:rPr>
          <w:b/>
        </w:rPr>
        <w:t xml:space="preserve">Scientific rigor: </w:t>
      </w:r>
      <w:r>
        <w:t>Uses sound methods, valid evaluation approaches, and reproducible workflows.</w:t>
      </w:r>
    </w:p>
    <w:p>
      <w:pPr>
        <w:pStyle w:val="Compact"/>
      </w:pPr>
      <w:r>
        <w:rPr>
          <w:b/>
        </w:rPr>
        <w:t xml:space="preserve">Business relevance: </w:t>
      </w:r>
      <w:r>
        <w:t>Connects models and experiments to real operating decisions and measurable impact.</w:t>
      </w:r>
    </w:p>
    <w:p>
      <w:pPr>
        <w:pStyle w:val="Compact"/>
      </w:pPr>
      <w:r>
        <w:rPr>
          <w:b/>
        </w:rPr>
        <w:t xml:space="preserve">Model lifecycle ownership: </w:t>
      </w:r>
      <w:r>
        <w:t>Considers data quality, feature stability, monitoring, retraining, and model risk.</w:t>
      </w:r>
    </w:p>
    <w:p>
      <w:pPr>
        <w:pStyle w:val="Compact"/>
      </w:pPr>
      <w:r>
        <w:rPr>
          <w:b/>
        </w:rPr>
        <w:t xml:space="preserve">Influence and education: </w:t>
      </w:r>
      <w:r>
        <w:t>Helps non-specialists understand model tradeoffs, assumptions, and limitations.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more than stronger modeling skills; it requires better judgment about when to model, when to simplify, and when to stop.</w:t>
      </w:r>
    </w:p>
    <w:p>
      <w:pPr>
        <w:pStyle w:val="BulletBody"/>
      </w:pPr>
      <w:r>
        <w:t xml:space="preserve">• </w:t>
      </w:r>
      <w:r>
        <w:t>Employees advance as they design stronger experiments, improve deployment readiness, and help organizations use model outputs responsibly.</w:t>
      </w:r>
    </w:p>
    <w:p>
      <w:pPr>
        <w:pStyle w:val="BulletBody"/>
      </w:pPr>
      <w:r>
        <w:t xml:space="preserve">• </w:t>
      </w:r>
      <w:r>
        <w:t>Senior levels create reusable scientific practices and influence portfolio-level choices.</w:t>
      </w:r>
    </w:p>
    <w:p>
      <w:pPr>
        <w:pStyle w:val="BulletBody"/>
      </w:pPr>
      <w:r>
        <w:t xml:space="preserve">• </w:t>
      </w:r>
      <w:r>
        <w:t>Clear written communication and concise stakeholder updates are core role expectations. Collaboration across time zones, functions, and levels is a normal part of progression for both individual contributors and managers.</w:t>
      </w:r>
    </w:p>
    <w:p>
      <w:pPr>
        <w:pStyle w:val="BulletBody"/>
      </w:pPr>
      <w:r>
        <w:t xml:space="preserve">• </w:t>
      </w:r>
      <w:r>
        <w:t>Market titles in the United States may differ across business units. Level placement should be based on sustained expectations and evidence, not just external title comparisons.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DS1 — Data Scientist I. </w:t>
      </w:r>
      <w:r>
        <w:t>Shows careful method selection, clean notebooks or workflows, and disciplined experiment write-ups.</w:t>
      </w:r>
    </w:p>
    <w:p>
      <w:pPr>
        <w:pStyle w:val="Compact"/>
      </w:pPr>
      <w:r>
        <w:rPr>
          <w:b/>
        </w:rPr>
        <w:t xml:space="preserve">DS2 — Data Scientist II. </w:t>
      </w:r>
      <w:r>
        <w:t>Connects scientific work to business decisions and independently manages scoped model or experimentation work.</w:t>
      </w:r>
    </w:p>
    <w:p>
      <w:pPr>
        <w:pStyle w:val="Compact"/>
      </w:pPr>
      <w:r>
        <w:rPr>
          <w:b/>
        </w:rPr>
        <w:t xml:space="preserve">DS3 — Senior Data Scientist. </w:t>
      </w:r>
      <w:r>
        <w:t>Leads ambiguous science problems, production readiness discussions, and model performance tradeoffs.</w:t>
      </w:r>
    </w:p>
    <w:p>
      <w:pPr>
        <w:pStyle w:val="Compact"/>
      </w:pPr>
      <w:r>
        <w:rPr>
          <w:b/>
        </w:rPr>
        <w:t xml:space="preserve">DS4 — Lead Data Scientist. </w:t>
      </w:r>
      <w:r>
        <w:t>Sets domain direction, improves governance, and raises the science bar across teams.</w:t>
      </w:r>
    </w:p>
    <w:p>
      <w:pPr>
        <w:pStyle w:val="Compact"/>
      </w:pPr>
      <w:r>
        <w:rPr>
          <w:b/>
        </w:rPr>
        <w:t xml:space="preserve">DS5 — Principal Data Scientist. </w:t>
      </w:r>
      <w:r>
        <w:t>Creates strategic influence through reusable approaches, senior decision support, and enterprise standards.</w:t>
      </w:r>
    </w:p>
    <w:p>
      <w:pPr>
        <w:pStyle w:val="SectionHeading"/>
      </w:pPr>
      <w:r>
        <w:t>Illustrative examples in this country context</w:t>
      </w:r>
    </w:p>
    <w:p>
      <w:pPr>
        <w:pStyle w:val="BulletBody"/>
      </w:pPr>
      <w:r>
        <w:t xml:space="preserve">• </w:t>
      </w:r>
      <w:r>
        <w:t>A Senior Business Analyst may lead operating model design for a new workflow, align control owners, and drive adoption metrics after launch.</w:t>
      </w:r>
    </w:p>
    <w:p>
      <w:pPr>
        <w:pStyle w:val="BulletBody"/>
      </w:pPr>
      <w:r>
        <w:t xml:space="preserve">• </w:t>
      </w:r>
      <w:r>
        <w:t>A Staff Software Engineer may shape architecture choices for a platform used by multiple product teams and coach engineers on reliability patterns.</w:t>
      </w:r>
    </w:p>
    <w:p>
      <w:pPr>
        <w:pStyle w:val="BulletBody"/>
      </w:pPr>
      <w:r>
        <w:t xml:space="preserve">• </w:t>
      </w:r>
      <w:r>
        <w:t>An Engineering Manager I may calibrate priorities with product, design, and support leaders while building growth plans for a team of mixed experience levels.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Experiment plans, evaluation summaries, or model review artifacts</w:t>
      </w:r>
    </w:p>
    <w:p>
      <w:pPr>
        <w:pStyle w:val="BulletBody"/>
      </w:pPr>
      <w:r>
        <w:t xml:space="preserve">• </w:t>
      </w:r>
      <w:r>
        <w:t>Operational metrics that improved through model or experiment adoption</w:t>
      </w:r>
    </w:p>
    <w:p>
      <w:pPr>
        <w:pStyle w:val="BulletBody"/>
      </w:pPr>
      <w:r>
        <w:t xml:space="preserve">• </w:t>
      </w:r>
      <w:r>
        <w:t>Examples of balancing accuracy, interpretability, latency, or cost</w:t>
      </w:r>
    </w:p>
    <w:p>
      <w:pPr>
        <w:pStyle w:val="BulletBody"/>
      </w:pPr>
      <w:r>
        <w:t xml:space="preserve">• </w:t>
      </w:r>
      <w:r>
        <w:t>Peer coaching, review quality, and method standardization contributions</w:t>
      </w:r>
    </w:p>
    <w:p>
      <w:pPr>
        <w:pStyle w:val="Compact"/>
      </w:pPr>
      <w:r>
        <w:rPr>
          <w:b/>
        </w:rPr>
        <w:t xml:space="preserve">Internal mobility. </w:t>
      </w:r>
      <w:r>
        <w:t>Data Scientists may move between forecasting, recommendation, optimization, experimentation, or applied ML tracks when they demonstrate sufficient domain grounding and responsible model ownership.</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United States Career Architecture | Career Architecture - Data Scientist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