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Career Architecture - Software Engineer</w:t>
      </w:r>
    </w:p>
    <w:p>
      <w:pPr>
        <w:pStyle w:val="DocSubtitle"/>
      </w:pPr>
      <w:r>
        <w:t>United States | Job family: Software Engineering | Document owner: Talent Development</w:t>
      </w:r>
    </w:p>
    <w:tbl>
      <w:tblPr>
        <w:tblW w:type="auto" w:w="0"/>
        <w:jc w:val="center"/>
        <w:tblLayout w:type="fixed"/>
        <w:tblLook w:firstColumn="1" w:firstRow="1" w:lastColumn="0" w:lastRow="0" w:noHBand="0" w:noVBand="1" w:val="04A0"/>
      </w:tblPr>
      <w:tblGrid>
        <w:gridCol w:w="3360"/>
        <w:gridCol w:w="3360"/>
        <w:gridCol w:w="3360"/>
      </w:tblGrid>
      <w:tr>
        <w:tc>
          <w:tcPr>
            <w:tcW w:type="dxa" w:w="3024"/>
            <w:tcMar>
              <w:top w:w="80" w:type="dxa"/>
              <w:start w:w="100" w:type="dxa"/>
              <w:bottom w:w="80" w:type="dxa"/>
              <w:end w:w="100" w:type="dxa"/>
            </w:tcMar>
            <w:vAlign w:val="center"/>
            <w:shd w:fill="D9E2F3"/>
          </w:tcPr>
          <w:p>
            <w:pPr>
              <w:jc w:val="center"/>
            </w:pPr>
            <w:r>
              <w:rPr>
                <w:b/>
                <w:color w:val="243F74"/>
                <w:sz w:val="19"/>
              </w:rPr>
              <w:t>Applies to</w:t>
            </w:r>
          </w:p>
        </w:tc>
        <w:tc>
          <w:tcPr>
            <w:tcW w:type="dxa" w:w="3024"/>
            <w:tcMar>
              <w:top w:w="80" w:type="dxa"/>
              <w:start w:w="100" w:type="dxa"/>
              <w:bottom w:w="80" w:type="dxa"/>
              <w:end w:w="100" w:type="dxa"/>
            </w:tcMar>
            <w:vAlign w:val="center"/>
            <w:shd w:fill="D9E2F3"/>
          </w:tcPr>
          <w:p>
            <w:pPr>
              <w:jc w:val="center"/>
            </w:pPr>
            <w:r>
              <w:rPr>
                <w:b/>
                <w:color w:val="243F74"/>
                <w:sz w:val="19"/>
              </w:rPr>
              <w:t>Progression model</w:t>
            </w:r>
          </w:p>
        </w:tc>
        <w:tc>
          <w:tcPr>
            <w:tcW w:type="dxa" w:w="3024"/>
            <w:tcMar>
              <w:top w:w="80" w:type="dxa"/>
              <w:start w:w="100" w:type="dxa"/>
              <w:bottom w:w="80" w:type="dxa"/>
              <w:end w:w="100" w:type="dxa"/>
            </w:tcMar>
            <w:vAlign w:val="center"/>
            <w:shd w:fill="D9E2F3"/>
          </w:tcPr>
          <w:p>
            <w:pPr>
              <w:jc w:val="center"/>
            </w:pPr>
            <w:r>
              <w:rPr>
                <w:b/>
                <w:color w:val="243F74"/>
                <w:sz w:val="19"/>
              </w:rPr>
              <w:t>Review cadence</w:t>
            </w:r>
          </w:p>
        </w:tc>
      </w:tr>
      <w:tr>
        <w:tc>
          <w:tcPr>
            <w:tcW w:type="dxa" w:w="3024"/>
            <w:tcMar>
              <w:top w:w="80" w:type="dxa"/>
              <w:start w:w="100" w:type="dxa"/>
              <w:bottom w:w="80" w:type="dxa"/>
              <w:end w:w="100" w:type="dxa"/>
            </w:tcMar>
            <w:vAlign w:val="center"/>
          </w:tcPr>
          <w:p>
            <w:pPr>
              <w:jc w:val="center"/>
            </w:pPr>
            <w:r>
              <w:rPr>
                <w:sz w:val="18"/>
              </w:rPr>
              <w:t>Employees aligned to this job family in the named country</w:t>
            </w:r>
          </w:p>
        </w:tc>
        <w:tc>
          <w:tcPr>
            <w:tcW w:type="dxa" w:w="3024"/>
            <w:tcMar>
              <w:top w:w="80" w:type="dxa"/>
              <w:start w:w="100" w:type="dxa"/>
              <w:bottom w:w="80" w:type="dxa"/>
              <w:end w:w="100" w:type="dxa"/>
            </w:tcMar>
            <w:vAlign w:val="center"/>
          </w:tcPr>
          <w:p>
            <w:pPr>
              <w:jc w:val="center"/>
            </w:pPr>
            <w:r>
              <w:rPr>
                <w:sz w:val="18"/>
              </w:rPr>
              <w:t>Level placement based on sustained scope and evidence</w:t>
            </w:r>
          </w:p>
        </w:tc>
        <w:tc>
          <w:tcPr>
            <w:tcW w:type="dxa" w:w="3024"/>
            <w:tcMar>
              <w:top w:w="80" w:type="dxa"/>
              <w:start w:w="100" w:type="dxa"/>
              <w:bottom w:w="80" w:type="dxa"/>
              <w:end w:w="100" w:type="dxa"/>
            </w:tcMar>
            <w:vAlign w:val="center"/>
          </w:tcPr>
          <w:p>
            <w:pPr>
              <w:jc w:val="center"/>
            </w:pPr>
            <w:r>
              <w:rPr>
                <w:sz w:val="18"/>
              </w:rPr>
              <w:t>Annual review, or earlier when roles materially change</w:t>
            </w:r>
          </w:p>
        </w:tc>
      </w:tr>
    </w:tbl>
    <w:p>
      <w:pPr>
        <w:pStyle w:val="Compact"/>
      </w:pPr>
    </w:p>
    <w:p>
      <w:pPr>
        <w:pStyle w:val="Compact"/>
      </w:pPr>
      <w:r>
        <w:rPr>
          <w:b/>
        </w:rPr>
        <w:t xml:space="preserve">Purpose. </w:t>
      </w:r>
      <w:r>
        <w:t>This document defines the progression expectations for the Software Engineer job family. It covers software design, delivery, quality, operations, technical leadership, and the increasing responsibility to shape systems rather than only implement tickets.</w:t>
      </w:r>
    </w:p>
    <w:p>
      <w:pPr>
        <w:pStyle w:val="Compact"/>
      </w:pPr>
      <w:r>
        <w:rPr>
          <w:b/>
        </w:rPr>
        <w:t xml:space="preserve">Country context. </w:t>
      </w:r>
      <w:r>
        <w:t>Career progression in the United States often places high weight on ownership, judgment, and cross-functional influence. Employees are expected to make clear decisions, document tradeoffs, and operate effectively in matrixed environments with varied stakeholders and rapidly changing priorities.</w:t>
      </w:r>
    </w:p>
    <w:p>
      <w:pPr>
        <w:pStyle w:val="Compact"/>
      </w:pPr>
      <w:r>
        <w:rPr>
          <w:b/>
        </w:rPr>
        <w:t xml:space="preserve">How this document is used. </w:t>
      </w:r>
      <w:r>
        <w:t>This architecture supports hiring alignment, performance calibration, promotion discussions, development planning, and internal mobility. It does not create an automatic promotion path based on time in role; advancement requires sustained evidence that the next-level expectations are already being met in practice.</w:t>
      </w:r>
    </w:p>
    <w:p>
      <w:pPr>
        <w:pStyle w:val="SectionHeading"/>
      </w:pPr>
      <w:r>
        <w:t>Level framework</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080"/>
            <w:shd w:fill="D9E2F3"/>
            <w:tcMar>
              <w:top w:w="80" w:type="dxa"/>
              <w:start w:w="100" w:type="dxa"/>
              <w:bottom w:w="80" w:type="dxa"/>
              <w:end w:w="100" w:type="dxa"/>
            </w:tcMar>
            <w:vAlign w:val="center"/>
          </w:tcPr>
          <w:p>
            <w:pPr>
              <w:jc w:val="center"/>
            </w:pPr>
            <w:r>
              <w:rPr>
                <w:b/>
                <w:color w:val="243F74"/>
                <w:sz w:val="18"/>
              </w:rPr>
              <w:t>Level</w:t>
            </w:r>
          </w:p>
        </w:tc>
        <w:tc>
          <w:tcPr>
            <w:tcW w:type="dxa" w:w="2376"/>
            <w:shd w:fill="D9E2F3"/>
            <w:tcMar>
              <w:top w:w="80" w:type="dxa"/>
              <w:start w:w="100" w:type="dxa"/>
              <w:bottom w:w="80" w:type="dxa"/>
              <w:end w:w="100" w:type="dxa"/>
            </w:tcMar>
            <w:vAlign w:val="center"/>
          </w:tcPr>
          <w:p>
            <w:pPr>
              <w:jc w:val="center"/>
            </w:pPr>
            <w:r>
              <w:rPr>
                <w:b/>
                <w:color w:val="243F74"/>
                <w:sz w:val="18"/>
              </w:rPr>
              <w:t>Typical title</w:t>
            </w:r>
          </w:p>
        </w:tc>
        <w:tc>
          <w:tcPr>
            <w:tcW w:type="dxa" w:w="3528"/>
            <w:shd w:fill="D9E2F3"/>
            <w:tcMar>
              <w:top w:w="80" w:type="dxa"/>
              <w:start w:w="100" w:type="dxa"/>
              <w:bottom w:w="80" w:type="dxa"/>
              <w:end w:w="100" w:type="dxa"/>
            </w:tcMar>
            <w:vAlign w:val="center"/>
          </w:tcPr>
          <w:p>
            <w:pPr>
              <w:jc w:val="center"/>
            </w:pPr>
            <w:r>
              <w:rPr>
                <w:b/>
                <w:color w:val="243F74"/>
                <w:sz w:val="18"/>
              </w:rPr>
              <w:t>Primary scope</w:t>
            </w:r>
          </w:p>
        </w:tc>
        <w:tc>
          <w:tcPr>
            <w:tcW w:type="dxa" w:w="2880"/>
            <w:shd w:fill="D9E2F3"/>
            <w:tcMar>
              <w:top w:w="80" w:type="dxa"/>
              <w:start w:w="100" w:type="dxa"/>
              <w:bottom w:w="80" w:type="dxa"/>
              <w:end w:w="100" w:type="dxa"/>
            </w:tcMar>
            <w:vAlign w:val="center"/>
          </w:tcPr>
          <w:p>
            <w:pPr>
              <w:jc w:val="center"/>
            </w:pPr>
            <w:r>
              <w:rPr>
                <w:b/>
                <w:color w:val="243F74"/>
                <w:sz w:val="18"/>
              </w:rPr>
              <w:t>Decision latitude</w:t>
            </w:r>
          </w:p>
        </w:tc>
      </w:tr>
      <w:tr>
        <w:tc>
          <w:tcPr>
            <w:tcW w:type="dxa" w:w="1080"/>
            <w:tcMar>
              <w:top w:w="90" w:type="dxa"/>
              <w:start w:w="100" w:type="dxa"/>
              <w:bottom w:w="90" w:type="dxa"/>
              <w:end w:w="100" w:type="dxa"/>
            </w:tcMar>
            <w:vAlign w:val="center"/>
          </w:tcPr>
          <w:p>
            <w:pPr>
              <w:jc w:val="center"/>
            </w:pPr>
            <w:r>
              <w:rPr>
                <w:sz w:val="18"/>
              </w:rPr>
              <w:t>SE1</w:t>
            </w:r>
          </w:p>
        </w:tc>
        <w:tc>
          <w:tcPr>
            <w:tcW w:type="dxa" w:w="2376"/>
            <w:tcMar>
              <w:top w:w="90" w:type="dxa"/>
              <w:start w:w="100" w:type="dxa"/>
              <w:bottom w:w="90" w:type="dxa"/>
              <w:end w:w="100" w:type="dxa"/>
            </w:tcMar>
            <w:vAlign w:val="center"/>
          </w:tcPr>
          <w:p>
            <w:pPr>
              <w:jc w:val="left"/>
            </w:pPr>
            <w:r>
              <w:rPr>
                <w:sz w:val="18"/>
              </w:rPr>
              <w:t>Software Engineer I</w:t>
            </w:r>
          </w:p>
        </w:tc>
        <w:tc>
          <w:tcPr>
            <w:tcW w:type="dxa" w:w="3528"/>
            <w:tcMar>
              <w:top w:w="90" w:type="dxa"/>
              <w:start w:w="100" w:type="dxa"/>
              <w:bottom w:w="90" w:type="dxa"/>
              <w:end w:w="100" w:type="dxa"/>
            </w:tcMar>
            <w:vAlign w:val="center"/>
          </w:tcPr>
          <w:p>
            <w:pPr>
              <w:jc w:val="left"/>
            </w:pPr>
            <w:r>
              <w:rPr>
                <w:sz w:val="18"/>
              </w:rPr>
              <w:t>Delivers well-scoped features with review support and strong engineering hygiene.</w:t>
            </w:r>
          </w:p>
        </w:tc>
        <w:tc>
          <w:tcPr>
            <w:tcW w:type="dxa" w:w="2880"/>
            <w:tcMar>
              <w:top w:w="90" w:type="dxa"/>
              <w:start w:w="100" w:type="dxa"/>
              <w:bottom w:w="90" w:type="dxa"/>
              <w:end w:w="100" w:type="dxa"/>
            </w:tcMar>
            <w:vAlign w:val="center"/>
          </w:tcPr>
          <w:p>
            <w:pPr>
              <w:jc w:val="left"/>
            </w:pPr>
            <w:r>
              <w:rPr>
                <w:sz w:val="18"/>
              </w:rPr>
              <w:t>Learns systems, writes maintainable code, and closes assigned work reliably.</w:t>
            </w:r>
          </w:p>
        </w:tc>
      </w:tr>
      <w:tr>
        <w:tc>
          <w:tcPr>
            <w:tcW w:type="dxa" w:w="1080"/>
            <w:tcMar>
              <w:top w:w="90" w:type="dxa"/>
              <w:start w:w="100" w:type="dxa"/>
              <w:bottom w:w="90" w:type="dxa"/>
              <w:end w:w="100" w:type="dxa"/>
            </w:tcMar>
            <w:vAlign w:val="center"/>
          </w:tcPr>
          <w:p>
            <w:pPr>
              <w:jc w:val="center"/>
            </w:pPr>
            <w:r>
              <w:rPr>
                <w:sz w:val="18"/>
              </w:rPr>
              <w:t>SE2</w:t>
            </w:r>
          </w:p>
        </w:tc>
        <w:tc>
          <w:tcPr>
            <w:tcW w:type="dxa" w:w="2376"/>
            <w:tcMar>
              <w:top w:w="90" w:type="dxa"/>
              <w:start w:w="100" w:type="dxa"/>
              <w:bottom w:w="90" w:type="dxa"/>
              <w:end w:w="100" w:type="dxa"/>
            </w:tcMar>
            <w:vAlign w:val="center"/>
          </w:tcPr>
          <w:p>
            <w:pPr>
              <w:jc w:val="left"/>
            </w:pPr>
            <w:r>
              <w:rPr>
                <w:sz w:val="18"/>
              </w:rPr>
              <w:t>Software Engineer II</w:t>
            </w:r>
          </w:p>
        </w:tc>
        <w:tc>
          <w:tcPr>
            <w:tcW w:type="dxa" w:w="3528"/>
            <w:tcMar>
              <w:top w:w="90" w:type="dxa"/>
              <w:start w:w="100" w:type="dxa"/>
              <w:bottom w:w="90" w:type="dxa"/>
              <w:end w:w="100" w:type="dxa"/>
            </w:tcMar>
            <w:vAlign w:val="center"/>
          </w:tcPr>
          <w:p>
            <w:pPr>
              <w:jc w:val="left"/>
            </w:pPr>
            <w:r>
              <w:rPr>
                <w:sz w:val="18"/>
              </w:rPr>
              <w:t>Owns components, troubleshooting, and service quality within a team.</w:t>
            </w:r>
          </w:p>
        </w:tc>
        <w:tc>
          <w:tcPr>
            <w:tcW w:type="dxa" w:w="2880"/>
            <w:tcMar>
              <w:top w:w="90" w:type="dxa"/>
              <w:start w:w="100" w:type="dxa"/>
              <w:bottom w:w="90" w:type="dxa"/>
              <w:end w:w="100" w:type="dxa"/>
            </w:tcMar>
            <w:vAlign w:val="center"/>
          </w:tcPr>
          <w:p>
            <w:pPr>
              <w:jc w:val="left"/>
            </w:pPr>
            <w:r>
              <w:rPr>
                <w:sz w:val="18"/>
              </w:rPr>
              <w:t>Makes sound implementation choices and improves test coverage and operational readiness.</w:t>
            </w:r>
          </w:p>
        </w:tc>
      </w:tr>
      <w:tr>
        <w:tc>
          <w:tcPr>
            <w:tcW w:type="dxa" w:w="1080"/>
            <w:tcMar>
              <w:top w:w="90" w:type="dxa"/>
              <w:start w:w="100" w:type="dxa"/>
              <w:bottom w:w="90" w:type="dxa"/>
              <w:end w:w="100" w:type="dxa"/>
            </w:tcMar>
            <w:vAlign w:val="center"/>
          </w:tcPr>
          <w:p>
            <w:pPr>
              <w:jc w:val="center"/>
            </w:pPr>
            <w:r>
              <w:rPr>
                <w:sz w:val="18"/>
              </w:rPr>
              <w:t>SE3</w:t>
            </w:r>
          </w:p>
        </w:tc>
        <w:tc>
          <w:tcPr>
            <w:tcW w:type="dxa" w:w="2376"/>
            <w:tcMar>
              <w:top w:w="90" w:type="dxa"/>
              <w:start w:w="100" w:type="dxa"/>
              <w:bottom w:w="90" w:type="dxa"/>
              <w:end w:w="100" w:type="dxa"/>
            </w:tcMar>
            <w:vAlign w:val="center"/>
          </w:tcPr>
          <w:p>
            <w:pPr>
              <w:jc w:val="left"/>
            </w:pPr>
            <w:r>
              <w:rPr>
                <w:sz w:val="18"/>
              </w:rPr>
              <w:t>Senior Software Engineer</w:t>
            </w:r>
          </w:p>
        </w:tc>
        <w:tc>
          <w:tcPr>
            <w:tcW w:type="dxa" w:w="3528"/>
            <w:tcMar>
              <w:top w:w="90" w:type="dxa"/>
              <w:start w:w="100" w:type="dxa"/>
              <w:bottom w:w="90" w:type="dxa"/>
              <w:end w:w="100" w:type="dxa"/>
            </w:tcMar>
            <w:vAlign w:val="center"/>
          </w:tcPr>
          <w:p>
            <w:pPr>
              <w:jc w:val="left"/>
            </w:pPr>
            <w:r>
              <w:rPr>
                <w:sz w:val="18"/>
              </w:rPr>
              <w:t>Leads technical delivery across multiple components or an important service.</w:t>
            </w:r>
          </w:p>
        </w:tc>
        <w:tc>
          <w:tcPr>
            <w:tcW w:type="dxa" w:w="2880"/>
            <w:tcMar>
              <w:top w:w="90" w:type="dxa"/>
              <w:start w:w="100" w:type="dxa"/>
              <w:bottom w:w="90" w:type="dxa"/>
              <w:end w:w="100" w:type="dxa"/>
            </w:tcMar>
            <w:vAlign w:val="center"/>
          </w:tcPr>
          <w:p>
            <w:pPr>
              <w:jc w:val="left"/>
            </w:pPr>
            <w:r>
              <w:rPr>
                <w:sz w:val="18"/>
              </w:rPr>
              <w:t>Resolves ambiguity, mentors others, and raises the engineering bar.</w:t>
            </w:r>
          </w:p>
        </w:tc>
      </w:tr>
      <w:tr>
        <w:tc>
          <w:tcPr>
            <w:tcW w:type="dxa" w:w="1080"/>
            <w:tcMar>
              <w:top w:w="90" w:type="dxa"/>
              <w:start w:w="100" w:type="dxa"/>
              <w:bottom w:w="90" w:type="dxa"/>
              <w:end w:w="100" w:type="dxa"/>
            </w:tcMar>
            <w:vAlign w:val="center"/>
          </w:tcPr>
          <w:p>
            <w:pPr>
              <w:jc w:val="center"/>
            </w:pPr>
            <w:r>
              <w:rPr>
                <w:sz w:val="18"/>
              </w:rPr>
              <w:t>SE4</w:t>
            </w:r>
          </w:p>
        </w:tc>
        <w:tc>
          <w:tcPr>
            <w:tcW w:type="dxa" w:w="2376"/>
            <w:tcMar>
              <w:top w:w="90" w:type="dxa"/>
              <w:start w:w="100" w:type="dxa"/>
              <w:bottom w:w="90" w:type="dxa"/>
              <w:end w:w="100" w:type="dxa"/>
            </w:tcMar>
            <w:vAlign w:val="center"/>
          </w:tcPr>
          <w:p>
            <w:pPr>
              <w:jc w:val="left"/>
            </w:pPr>
            <w:r>
              <w:rPr>
                <w:sz w:val="18"/>
              </w:rPr>
              <w:t>Lead Software Engineer / Staff Engineer</w:t>
            </w:r>
          </w:p>
        </w:tc>
        <w:tc>
          <w:tcPr>
            <w:tcW w:type="dxa" w:w="3528"/>
            <w:tcMar>
              <w:top w:w="90" w:type="dxa"/>
              <w:start w:w="100" w:type="dxa"/>
              <w:bottom w:w="90" w:type="dxa"/>
              <w:end w:w="100" w:type="dxa"/>
            </w:tcMar>
            <w:vAlign w:val="center"/>
          </w:tcPr>
          <w:p>
            <w:pPr>
              <w:jc w:val="left"/>
            </w:pPr>
            <w:r>
              <w:rPr>
                <w:sz w:val="18"/>
              </w:rPr>
              <w:t>Sets technical direction for a domain and drives cross-team design alignment.</w:t>
            </w:r>
          </w:p>
        </w:tc>
        <w:tc>
          <w:tcPr>
            <w:tcW w:type="dxa" w:w="2880"/>
            <w:tcMar>
              <w:top w:w="90" w:type="dxa"/>
              <w:start w:w="100" w:type="dxa"/>
              <w:bottom w:w="90" w:type="dxa"/>
              <w:end w:w="100" w:type="dxa"/>
            </w:tcMar>
            <w:vAlign w:val="center"/>
          </w:tcPr>
          <w:p>
            <w:pPr>
              <w:jc w:val="left"/>
            </w:pPr>
            <w:r>
              <w:rPr>
                <w:sz w:val="18"/>
              </w:rPr>
              <w:t>Influences architecture, standards, and incident prevention at scale.</w:t>
            </w:r>
          </w:p>
        </w:tc>
      </w:tr>
      <w:tr>
        <w:tc>
          <w:tcPr>
            <w:tcW w:type="dxa" w:w="1080"/>
            <w:tcMar>
              <w:top w:w="90" w:type="dxa"/>
              <w:start w:w="100" w:type="dxa"/>
              <w:bottom w:w="90" w:type="dxa"/>
              <w:end w:w="100" w:type="dxa"/>
            </w:tcMar>
            <w:vAlign w:val="center"/>
          </w:tcPr>
          <w:p>
            <w:pPr>
              <w:jc w:val="center"/>
            </w:pPr>
            <w:r>
              <w:rPr>
                <w:sz w:val="18"/>
              </w:rPr>
              <w:t>SE5</w:t>
            </w:r>
          </w:p>
        </w:tc>
        <w:tc>
          <w:tcPr>
            <w:tcW w:type="dxa" w:w="2376"/>
            <w:tcMar>
              <w:top w:w="90" w:type="dxa"/>
              <w:start w:w="100" w:type="dxa"/>
              <w:bottom w:w="90" w:type="dxa"/>
              <w:end w:w="100" w:type="dxa"/>
            </w:tcMar>
            <w:vAlign w:val="center"/>
          </w:tcPr>
          <w:p>
            <w:pPr>
              <w:jc w:val="left"/>
            </w:pPr>
            <w:r>
              <w:rPr>
                <w:sz w:val="18"/>
              </w:rPr>
              <w:t>Principal Engineer</w:t>
            </w:r>
          </w:p>
        </w:tc>
        <w:tc>
          <w:tcPr>
            <w:tcW w:type="dxa" w:w="3528"/>
            <w:tcMar>
              <w:top w:w="90" w:type="dxa"/>
              <w:start w:w="100" w:type="dxa"/>
              <w:bottom w:w="90" w:type="dxa"/>
              <w:end w:w="100" w:type="dxa"/>
            </w:tcMar>
            <w:vAlign w:val="center"/>
          </w:tcPr>
          <w:p>
            <w:pPr>
              <w:jc w:val="left"/>
            </w:pPr>
            <w:r>
              <w:rPr>
                <w:sz w:val="18"/>
              </w:rPr>
              <w:t>Shapes platform strategy and enterprise-level engineering decisions.</w:t>
            </w:r>
          </w:p>
        </w:tc>
        <w:tc>
          <w:tcPr>
            <w:tcW w:type="dxa" w:w="2880"/>
            <w:tcMar>
              <w:top w:w="90" w:type="dxa"/>
              <w:start w:w="100" w:type="dxa"/>
              <w:bottom w:w="90" w:type="dxa"/>
              <w:end w:w="100" w:type="dxa"/>
            </w:tcMar>
            <w:vAlign w:val="center"/>
          </w:tcPr>
          <w:p>
            <w:pPr>
              <w:jc w:val="left"/>
            </w:pPr>
            <w:r>
              <w:rPr>
                <w:sz w:val="18"/>
              </w:rPr>
              <w:t>Creates reusable approaches and influences multiple organizations.</w:t>
            </w:r>
          </w:p>
        </w:tc>
      </w:tr>
    </w:tbl>
    <w:p>
      <w:pPr>
        <w:pStyle w:val="SectionHeading"/>
      </w:pPr>
      <w:r>
        <w:t>Core dimensions used in level calibration</w:t>
      </w:r>
    </w:p>
    <w:p>
      <w:pPr>
        <w:pStyle w:val="Compact"/>
      </w:pPr>
      <w:r>
        <w:rPr>
          <w:b/>
        </w:rPr>
        <w:t xml:space="preserve">Implementation quality: </w:t>
      </w:r>
      <w:r>
        <w:t>Writes maintainable, testable, secure code and supports it in production.</w:t>
      </w:r>
    </w:p>
    <w:p>
      <w:pPr>
        <w:pStyle w:val="Compact"/>
      </w:pPr>
      <w:r>
        <w:rPr>
          <w:b/>
        </w:rPr>
        <w:t xml:space="preserve">System understanding: </w:t>
      </w:r>
      <w:r>
        <w:t>Understands component interactions, dependencies, and operational behavior.</w:t>
      </w:r>
    </w:p>
    <w:p>
      <w:pPr>
        <w:pStyle w:val="Compact"/>
      </w:pPr>
      <w:r>
        <w:rPr>
          <w:b/>
        </w:rPr>
        <w:t xml:space="preserve">Technical decision making: </w:t>
      </w:r>
      <w:r>
        <w:t>Chooses sensible design options and explains tradeoffs clearly.</w:t>
      </w:r>
    </w:p>
    <w:p>
      <w:pPr>
        <w:pStyle w:val="Compact"/>
      </w:pPr>
      <w:r>
        <w:rPr>
          <w:b/>
        </w:rPr>
        <w:t xml:space="preserve">Leadership through engineering: </w:t>
      </w:r>
      <w:r>
        <w:t>Raises the bar through reviews, mentoring, standards, and architecture influence.</w:t>
      </w:r>
    </w:p>
    <w:p>
      <w:pPr>
        <w:pStyle w:val="TinyNote"/>
      </w:pPr>
      <w:r>
        <w:t>Calibration should consider the consistency, complexity, and business significance of outcomes, not isolated peak moments.</w:t>
      </w:r>
    </w:p>
    <w:p>
      <w:pPr>
        <w:pStyle w:val="SectionHeading"/>
      </w:pPr>
      <w:r>
        <w:t>Progression principles</w:t>
      </w:r>
    </w:p>
    <w:p>
      <w:pPr>
        <w:pStyle w:val="BulletBody"/>
      </w:pPr>
      <w:r>
        <w:t xml:space="preserve">• </w:t>
      </w:r>
      <w:r>
        <w:t>Progression occurs when engineers move from completing defined work to shaping technical direction and reducing system risk for others.</w:t>
      </w:r>
    </w:p>
    <w:p>
      <w:pPr>
        <w:pStyle w:val="BulletBody"/>
      </w:pPr>
      <w:r>
        <w:t xml:space="preserve">• </w:t>
      </w:r>
      <w:r>
        <w:t>Advancement requires stronger judgment, broader ownership, and a demonstrated ability to improve team productivity or reliability.</w:t>
      </w:r>
    </w:p>
    <w:p>
      <w:pPr>
        <w:pStyle w:val="BulletBody"/>
      </w:pPr>
      <w:r>
        <w:t xml:space="preserve">• </w:t>
      </w:r>
      <w:r>
        <w:t>Senior and staff levels are measured on technical leverage and influence, not only on volume of code shipped.</w:t>
      </w:r>
    </w:p>
    <w:p>
      <w:pPr>
        <w:pStyle w:val="BulletBody"/>
      </w:pPr>
      <w:r>
        <w:t xml:space="preserve">• </w:t>
      </w:r>
      <w:r>
        <w:t>Clear written communication and concise stakeholder updates are core role expectations. Collaboration across time zones, functions, and levels is a normal part of progression for both individual contributors and managers.</w:t>
      </w:r>
    </w:p>
    <w:p>
      <w:pPr>
        <w:pStyle w:val="BulletBody"/>
      </w:pPr>
      <w:r>
        <w:t xml:space="preserve">• </w:t>
      </w:r>
      <w:r>
        <w:t>Market titles in the United States may differ across business units. Level placement should be based on sustained expectations and evidence, not just external title comparisons.</w:t>
      </w:r>
    </w:p>
    <w:p>
      <w:pPr>
        <w:pStyle w:val="Compact"/>
      </w:pPr>
      <w:r>
        <w:rPr>
          <w:b/>
        </w:rPr>
        <w:t xml:space="preserve">Promotion timing. </w:t>
      </w:r>
      <w:r>
        <w:t>There is no minimum time-in-level guarantee. Employees are considered for advancement when their work shows sustained next-level performance, reliable judgment, and broad trust from partners over an appropriate review period.</w:t>
      </w:r>
    </w:p>
    <w:p>
      <w:pPr>
        <w:pStyle w:val="SectionHeading"/>
      </w:pPr>
      <w:r>
        <w:t>What strong performance looks like by level</w:t>
      </w:r>
    </w:p>
    <w:p>
      <w:pPr>
        <w:pStyle w:val="Compact"/>
      </w:pPr>
      <w:r>
        <w:rPr>
          <w:b/>
        </w:rPr>
        <w:t xml:space="preserve">SE1 — Software Engineer I. </w:t>
      </w:r>
      <w:r>
        <w:t>Produces correct, maintainable code, learns team systems quickly, and handles feedback professionally.</w:t>
      </w:r>
    </w:p>
    <w:p>
      <w:pPr>
        <w:pStyle w:val="Compact"/>
      </w:pPr>
      <w:r>
        <w:rPr>
          <w:b/>
        </w:rPr>
        <w:t xml:space="preserve">SE2 — Software Engineer II. </w:t>
      </w:r>
      <w:r>
        <w:t>Owns components, debugs effectively, and improves quality or developer efficiency through practical engineering choices.</w:t>
      </w:r>
    </w:p>
    <w:p>
      <w:pPr>
        <w:pStyle w:val="Compact"/>
      </w:pPr>
      <w:r>
        <w:rPr>
          <w:b/>
        </w:rPr>
        <w:t xml:space="preserve">SE3 — Senior Software Engineer. </w:t>
      </w:r>
      <w:r>
        <w:t>Leads meaningful technical delivery, mentors others, and reduces system risk through design and operational improvements.</w:t>
      </w:r>
    </w:p>
    <w:p>
      <w:pPr>
        <w:pStyle w:val="Compact"/>
      </w:pPr>
      <w:r>
        <w:rPr>
          <w:b/>
        </w:rPr>
        <w:t xml:space="preserve">SE4 — Lead Software Engineer / Staff Engineer. </w:t>
      </w:r>
      <w:r>
        <w:t>Sets technical direction across a domain, aligns designs, and increases leverage for multiple teams.</w:t>
      </w:r>
    </w:p>
    <w:p>
      <w:pPr>
        <w:pStyle w:val="Compact"/>
      </w:pPr>
      <w:r>
        <w:rPr>
          <w:b/>
        </w:rPr>
        <w:t xml:space="preserve">SE5 — Principal Engineer. </w:t>
      </w:r>
      <w:r>
        <w:t>Creates platform or architectural influence at enterprise scale and shapes long-horizon engineering decisions.</w:t>
      </w:r>
    </w:p>
    <w:p>
      <w:pPr>
        <w:pStyle w:val="SectionHeading"/>
      </w:pPr>
      <w:r>
        <w:t>Illustrative examples in this country context</w:t>
      </w:r>
    </w:p>
    <w:p>
      <w:pPr>
        <w:pStyle w:val="BulletBody"/>
      </w:pPr>
      <w:r>
        <w:t xml:space="preserve">• </w:t>
      </w:r>
      <w:r>
        <w:t>A Senior Business Analyst may lead operating model design for a new workflow, align control owners, and drive adoption metrics after launch.</w:t>
      </w:r>
    </w:p>
    <w:p>
      <w:pPr>
        <w:pStyle w:val="BulletBody"/>
      </w:pPr>
      <w:r>
        <w:t xml:space="preserve">• </w:t>
      </w:r>
      <w:r>
        <w:t>A Staff Software Engineer may shape architecture choices for a platform used by multiple product teams and coach engineers on reliability patterns.</w:t>
      </w:r>
    </w:p>
    <w:p>
      <w:pPr>
        <w:pStyle w:val="BulletBody"/>
      </w:pPr>
      <w:r>
        <w:t xml:space="preserve">• </w:t>
      </w:r>
      <w:r>
        <w:t>An Engineering Manager I may calibrate priorities with product, design, and support leaders while building growth plans for a team of mixed experience levels.</w:t>
      </w:r>
    </w:p>
    <w:p>
      <w:pPr>
        <w:pStyle w:val="TinyNote"/>
      </w:pPr>
      <w:r>
        <w:t>Examples illustrate the type of work that may support calibration. They are not exhaustive and do not override the formal level definitions.</w:t>
      </w:r>
    </w:p>
    <w:p>
      <w:pPr>
        <w:pStyle w:val="SectionHeading"/>
      </w:pPr>
      <w:r>
        <w:t>Evidence considered in promotion and internal mobility</w:t>
      </w:r>
    </w:p>
    <w:p>
      <w:pPr>
        <w:pStyle w:val="Compact"/>
      </w:pPr>
      <w:r>
        <w:rPr>
          <w:b/>
        </w:rPr>
        <w:t xml:space="preserve">Evidence. </w:t>
      </w:r>
      <w:r>
        <w:t>Reviewers should look for repeatable outcomes, not isolated achievements. Useful evidence includes:</w:t>
      </w:r>
    </w:p>
    <w:p>
      <w:pPr>
        <w:pStyle w:val="BulletBody"/>
      </w:pPr>
      <w:r>
        <w:t xml:space="preserve">• </w:t>
      </w:r>
      <w:r>
        <w:t>Design notes, architecture proposals, or migration plans</w:t>
      </w:r>
    </w:p>
    <w:p>
      <w:pPr>
        <w:pStyle w:val="BulletBody"/>
      </w:pPr>
      <w:r>
        <w:t xml:space="preserve">• </w:t>
      </w:r>
      <w:r>
        <w:t>Examples of reliability improvements, test strategy, or incident prevention</w:t>
      </w:r>
    </w:p>
    <w:p>
      <w:pPr>
        <w:pStyle w:val="BulletBody"/>
      </w:pPr>
      <w:r>
        <w:t xml:space="preserve">• </w:t>
      </w:r>
      <w:r>
        <w:t>Peer coaching, code review quality, and technical standards adopted by the team</w:t>
      </w:r>
    </w:p>
    <w:p>
      <w:pPr>
        <w:pStyle w:val="BulletBody"/>
      </w:pPr>
      <w:r>
        <w:t xml:space="preserve">• </w:t>
      </w:r>
      <w:r>
        <w:t>Evidence that the engineer made the system easier to change, monitor, or support</w:t>
      </w:r>
    </w:p>
    <w:p>
      <w:pPr>
        <w:pStyle w:val="Compact"/>
      </w:pPr>
      <w:r>
        <w:rPr>
          <w:b/>
        </w:rPr>
        <w:t xml:space="preserve">Internal mobility. </w:t>
      </w:r>
      <w:r>
        <w:t>Software Engineers may move across application, platform, data, automation, or integration teams when they demonstrate sufficient system understanding, learning agility, and delivery discipline.</w:t>
      </w:r>
    </w:p>
    <w:p>
      <w:pPr>
        <w:pStyle w:val="Compact"/>
      </w:pPr>
      <w:r>
        <w:rPr>
          <w:b/>
        </w:rPr>
        <w:t xml:space="preserve">Development planning. </w:t>
      </w:r>
      <w:r>
        <w:t>Employees and managers should use this architecture to identify the next two or three growth areas that would most clearly increase readiness for broader scope. Development plans should focus on applied opportunities, not only training completion.</w:t>
      </w:r>
    </w:p>
    <w:p>
      <w:pPr>
        <w:pStyle w:val="SectionHeading"/>
      </w:pPr>
      <w:r>
        <w:t>Guidance for managers and calibration partners</w:t>
      </w:r>
    </w:p>
    <w:p>
      <w:pPr>
        <w:pStyle w:val="BulletBody"/>
      </w:pPr>
      <w:r>
        <w:t xml:space="preserve">• </w:t>
      </w:r>
      <w:r>
        <w:t>Do not use title inflation, urgent business need, or retention pressure as substitutes for evidence of the next level.</w:t>
      </w:r>
    </w:p>
    <w:p>
      <w:pPr>
        <w:pStyle w:val="BulletBody"/>
      </w:pPr>
      <w:r>
        <w:t xml:space="preserve">• </w:t>
      </w:r>
      <w:r>
        <w:t>When assessing readiness, compare the employee to the written expectations of the next level, not only to immediate peers.</w:t>
      </w:r>
    </w:p>
    <w:p>
      <w:pPr>
        <w:pStyle w:val="BulletBody"/>
      </w:pPr>
      <w:r>
        <w:t xml:space="preserve">• </w:t>
      </w:r>
      <w:r>
        <w:t>Look for consistency over more than one review point, especially for roles where judgment and influence are central.</w:t>
      </w:r>
    </w:p>
    <w:p>
      <w:pPr>
        <w:pStyle w:val="BulletBody"/>
      </w:pPr>
      <w:r>
        <w:t xml:space="preserve">• </w:t>
      </w:r>
      <w:r>
        <w:t>Use this architecture together with local role design, team context, and available scope; career growth should not depend on one narrow project type.</w:t>
      </w:r>
    </w:p>
    <w:p>
      <w:pPr>
        <w:pStyle w:val="BulletBody"/>
      </w:pPr>
      <w:r>
        <w:t xml:space="preserve">• </w:t>
      </w:r>
      <w:r>
        <w:t>Where a role is changing significantly, adjust expectations transparently and document what new success looks like before using it in promotion decisions.</w:t>
      </w:r>
    </w:p>
    <w:p>
      <w:pPr>
        <w:pStyle w:val="Compact"/>
      </w:pPr>
      <w:r>
        <w:rPr>
          <w:b/>
        </w:rPr>
        <w:t xml:space="preserve">Escalation. </w:t>
      </w:r>
      <w:r>
        <w:t>Questions about level placement, unusual title mapping, or cross-country comparability should be routed to talentdevelopment@company.com with supporting examples and recent review context.</w:t>
      </w:r>
    </w:p>
    <w:sectPr w:rsidR="00FC693F" w:rsidRPr="0006063C" w:rsidSect="00034616">
      <w:headerReference w:type="default" r:id="rId9"/>
      <w:footerReference w:type="default" r:id="rId10"/>
      <w:pgSz w:w="12240" w:h="15840"/>
      <w:pgMar w:top="864"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E6E6E"/>
        <w:sz w:val="17"/>
      </w:rPr>
      <w:t xml:space="preserve">Talent Development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Note"/>
    </w:pPr>
    <w:r/>
    <w:r>
      <w:rPr>
        <w:b/>
        <w:color w:val="243F74"/>
      </w:rPr>
      <w:t>United States Career Architecture | Career Architecture - Software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 Title"/>
    <w:basedOn w:val="Normal"/>
    <w:pPr>
      <w:spacing w:after="20"/>
    </w:pPr>
    <w:rPr>
      <w:rFonts w:ascii="Aptos Display" w:hAnsi="Aptos Display"/>
      <w:b/>
      <w:color w:val="243F74"/>
      <w:sz w:val="36"/>
    </w:rPr>
  </w:style>
  <w:style w:type="paragraph" w:customStyle="1" w:styleId="DocSubtitle">
    <w:name w:val="Doc Subtitle"/>
    <w:basedOn w:val="Normal"/>
    <w:pPr>
      <w:spacing w:after="120"/>
    </w:pPr>
    <w:rPr>
      <w:color w:val="5E5E5E"/>
      <w:sz w:val="19"/>
    </w:rPr>
  </w:style>
  <w:style w:type="paragraph" w:customStyle="1" w:styleId="SectionHeading">
    <w:name w:val="Section Heading"/>
    <w:basedOn w:val="Heading2"/>
    <w:pPr>
      <w:keepNext/>
      <w:spacing w:before="200" w:after="40"/>
    </w:pPr>
    <w:rPr>
      <w:rFonts w:ascii="Aptos" w:hAnsi="Aptos"/>
      <w:b/>
      <w:color w:val="243F74"/>
      <w:sz w:val="24"/>
    </w:rPr>
  </w:style>
  <w:style w:type="paragraph" w:customStyle="1" w:styleId="TinyNote">
    <w:name w:val="Tiny Note"/>
    <w:basedOn w:val="Normal"/>
    <w:pPr>
      <w:spacing w:after="40"/>
    </w:pPr>
    <w:rPr>
      <w:color w:val="6E6E6E"/>
      <w:sz w:val="17"/>
    </w:rPr>
  </w:style>
  <w:style w:type="paragraph" w:customStyle="1" w:styleId="BulletBody">
    <w:name w:val="Bullet Body"/>
    <w:basedOn w:val="Normal"/>
    <w:pPr>
      <w:spacing w:after="20"/>
      <w:ind w:left="317" w:hanging="230"/>
    </w:pPr>
  </w:style>
  <w:style w:type="paragraph" w:customStyle="1" w:styleId="Compact">
    <w:name w:val="Compact"/>
    <w:basedOn w:val="Normal"/>
    <w:pPr>
      <w:spacing w:after="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