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Non-Retaliation and Protected Reporting Policy</w:t>
      </w:r>
    </w:p>
    <w:p>
      <w:pPr>
        <w:spacing w:after="120" w:line="269" w:lineRule="auto"/>
      </w:pPr>
      <w:r>
        <w:t>AR-HR-004  |  Category: Compliance  |  Country: Argentina  |  Version 3.0</w:t>
      </w:r>
    </w:p>
    <w:p>
      <w:pPr>
        <w:spacing w:after="120" w:line="269" w:lineRule="auto"/>
      </w:pPr>
      <w:r>
        <w:t>Policy owner: compliance@company.com  |  Related documents: AR-HR-003, AR-HR-005, AR-HR-007, AR-HR-050</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non-retaliation and protected reporting.</w:t>
      </w:r>
    </w:p>
    <w:p>
      <w:pPr>
        <w:spacing w:after="120" w:line="269" w:lineRule="auto"/>
      </w:pPr>
      <w:r>
        <w:t>Questions about this document should be sent to compliance@company.com.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The company prohibits retaliation against any person who raises a concern in good faith, participates in an investigation, requests an accommodation, asks for payroll correction, or refuses to engage in conduct they reasonably believe would violate law or policy.</w:t>
      </w:r>
    </w:p>
    <w:p>
      <w:pPr>
        <w:pStyle w:val="Heading2"/>
        <w:spacing w:before="140" w:after="40"/>
      </w:pPr>
      <w:r>
        <w:t>Quick Reference</w:t>
      </w:r>
    </w:p>
    <w:p>
      <w:pPr>
        <w:pStyle w:val="ListBullet"/>
        <w:spacing w:after="60"/>
      </w:pPr>
      <w:r>
        <w:t>Questions: compliance@company.com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Protected Activity</w:t>
      </w:r>
    </w:p>
    <w:p>
      <w:pPr>
        <w:spacing w:after="120" w:line="269" w:lineRule="auto"/>
      </w:pPr>
      <w:r>
        <w:t>Protected activity includes reporting harassment, discrimination, ethics concerns, wage issues, unsafe conditions, privacy concerns, and suspected fraud. It also includes serving as a witness, providing records, or asking a good-faith question about policy interpretation.</w:t>
      </w:r>
    </w:p>
    <w:p>
      <w:pPr>
        <w:spacing w:after="120" w:line="269" w:lineRule="auto"/>
      </w:pPr>
      <w:r>
        <w:t>An employee does not lose protection because an investigation later finds no policy violation, provided the employee raised the concern honestly and not in bad faith.</w:t>
      </w:r>
    </w:p>
    <w:p>
      <w:pPr>
        <w:pStyle w:val="Heading1"/>
        <w:spacing w:before="180" w:after="60"/>
      </w:pPr>
      <w:r>
        <w:t>Examples of Retaliation</w:t>
      </w:r>
    </w:p>
    <w:p>
      <w:pPr>
        <w:spacing w:after="120" w:line="269" w:lineRule="auto"/>
      </w:pPr>
      <w:r>
        <w:t>Retaliation may include a sudden negative performance rating with no documented basis, exclusion from key meetings after a complaint, denial of previously approved training, threats about promotion prospects, or comments suggesting the employee damaged the team by speaking up.</w:t>
      </w:r>
    </w:p>
    <w:p>
      <w:pPr>
        <w:spacing w:after="120" w:line="269" w:lineRule="auto"/>
      </w:pPr>
      <w:r>
        <w:t>Managers must separate legitimate performance management from retaliation risk. If performance issues existed before a report, they should be evidenced by contemporaneous notes, prior feedback, and consistent expectations.</w:t>
      </w:r>
    </w:p>
    <w:p>
      <w:pPr>
        <w:pStyle w:val="Heading1"/>
        <w:spacing w:before="180" w:after="60"/>
      </w:pPr>
      <w:r>
        <w:t>Escalation and Documentation</w:t>
      </w:r>
    </w:p>
    <w:p>
      <w:pPr>
        <w:spacing w:after="120" w:line="269" w:lineRule="auto"/>
      </w:pPr>
      <w:r>
        <w:t>Retaliation allegations should be escalated to compliance or employee relations on the same business day. Case notes should identify the protected activity, the alleged adverse action, relevant timelines, and the decision-makers involved.</w:t>
      </w:r>
    </w:p>
    <w:p>
      <w:pPr>
        <w:spacing w:after="120" w:line="269" w:lineRule="auto"/>
      </w:pPr>
      <w:r>
        <w:t>Where interim protection is needed, the company may change reporting lines, adjust approvals, or assign an alternate reviewer while the concern is examined.</w:t>
      </w:r>
    </w:p>
    <w:p>
      <w:pPr>
        <w:pStyle w:val="Heading1"/>
        <w:spacing w:before="180" w:after="60"/>
      </w:pPr>
      <w:r>
        <w:t>Governance</w:t>
      </w:r>
    </w:p>
    <w:p>
      <w:pPr>
        <w:spacing w:after="120" w:line="269" w:lineRule="auto"/>
      </w:pPr>
      <w:r>
        <w:t>This document should be read together with AR-HR-003, AR-HR-005, AR-HR-007, AR-HR-050.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compliance@company.com.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