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pPr>
      <w:r>
        <w:t>Conflict of Interest Disclosure Policy</w:t>
      </w:r>
    </w:p>
    <w:p>
      <w:pPr>
        <w:spacing w:after="120" w:line="269" w:lineRule="auto"/>
      </w:pPr>
      <w:r>
        <w:t>AR-HR-006  |  Category: Compliance  |  Country: Argentina  |  Version 3.0</w:t>
      </w:r>
    </w:p>
    <w:p>
      <w:pPr>
        <w:spacing w:after="120" w:line="269" w:lineRule="auto"/>
      </w:pPr>
      <w:r>
        <w:t>Policy owner: compliance@company.com  |  Related documents: AR-HR-007, AR-HR-028, AR-HR-050</w:t>
      </w:r>
    </w:p>
    <w:p>
      <w:pPr>
        <w:spacing w:after="120" w:line="269" w:lineRule="auto"/>
      </w:pPr>
      <w:r>
        <w:t>This Argentina edition applies to employees hired on the Argentina payroll. Argentine labor law, collective bargaining obligations where applicable, and written employment terms control where they provide greater protection or require a different process.</w:t>
      </w:r>
    </w:p>
    <w:p>
      <w:pPr>
        <w:pStyle w:val="Heading1"/>
        <w:spacing w:before="180" w:after="60"/>
      </w:pPr>
      <w:r>
        <w:t>Policy Summary</w:t>
      </w:r>
    </w:p>
    <w:p>
      <w:pPr>
        <w:spacing w:after="120" w:line="269" w:lineRule="auto"/>
      </w:pPr>
      <w:r>
        <w:t>This policy sets out the company's rules, responsibilities, and approval requirements for conflict of interest disclosure.</w:t>
      </w:r>
    </w:p>
    <w:p>
      <w:pPr>
        <w:spacing w:after="120" w:line="269" w:lineRule="auto"/>
      </w:pPr>
      <w:r>
        <w:t>Questions about this document should be sent to compliance@company.com. When a matter spans more than one process, the receiving team may coordinate with the relevant function named in the related documents.</w:t>
      </w:r>
    </w:p>
    <w:p>
      <w:pPr>
        <w:spacing w:after="120" w:line="269" w:lineRule="auto"/>
      </w:pPr>
      <w:r>
        <w:t>Local law, approved regional addenda, and individual contractual terms override this document where they provide greater protection or require a different process.</w:t>
      </w:r>
    </w:p>
    <w:p>
      <w:pPr>
        <w:spacing w:after="120" w:line="269" w:lineRule="auto"/>
      </w:pPr>
      <w:r>
        <w:t>Employees must disclose actual or apparent conflicts of interest that could impair objective business judgment. Disclosure allows the company to manage the risk before a procurement decision, compensation decision, hiring decision, or vendor relationship is compromised.</w:t>
      </w:r>
    </w:p>
    <w:p>
      <w:pPr>
        <w:pStyle w:val="Heading2"/>
        <w:spacing w:before="140" w:after="40"/>
      </w:pPr>
      <w:r>
        <w:t>Quick Reference</w:t>
      </w:r>
    </w:p>
    <w:p>
      <w:pPr>
        <w:pStyle w:val="ListBullet"/>
        <w:spacing w:after="60"/>
      </w:pPr>
      <w:r>
        <w:t>Questions: compliance@company.com</w:t>
      </w:r>
    </w:p>
    <w:p>
      <w:pPr>
        <w:pStyle w:val="ListBullet"/>
        <w:spacing w:after="60"/>
      </w:pPr>
      <w:r>
        <w:t>Escalate sensitive matters on the same business day.</w:t>
      </w:r>
    </w:p>
    <w:p>
      <w:pPr>
        <w:pStyle w:val="ListBullet"/>
        <w:spacing w:after="60"/>
      </w:pPr>
      <w:r>
        <w:t>Document decisions that affect pay, access, leave, or employment status.</w:t>
      </w:r>
    </w:p>
    <w:p>
      <w:pPr>
        <w:pStyle w:val="Heading1"/>
        <w:spacing w:before="180" w:after="60"/>
      </w:pPr>
      <w:r>
        <w:t>Common Conflict Scenarios</w:t>
      </w:r>
    </w:p>
    <w:p>
      <w:pPr>
        <w:spacing w:after="120" w:line="269" w:lineRule="auto"/>
      </w:pPr>
      <w:r>
        <w:t>Common examples include supervising or influencing the pay of a close relative, selecting a vendor owned by a family member, accepting gifts that could influence a procurement decision, outside employment that competes with the company, or using confidential information for personal gain.</w:t>
      </w:r>
    </w:p>
    <w:p>
      <w:pPr>
        <w:spacing w:after="120" w:line="269" w:lineRule="auto"/>
      </w:pPr>
      <w:r>
        <w:t>A conflict may still require disclosure even if the employee believes they can stay fair. The test is whether a reasonable observer would question the employee's independence or whether the situation could create undue influence over a business decision.</w:t>
      </w:r>
    </w:p>
    <w:p>
      <w:pPr>
        <w:pStyle w:val="Heading1"/>
        <w:spacing w:before="180" w:after="60"/>
      </w:pPr>
      <w:r>
        <w:t>Disclosure Timing</w:t>
      </w:r>
    </w:p>
    <w:p>
      <w:pPr>
        <w:spacing w:after="120" w:line="269" w:lineRule="auto"/>
      </w:pPr>
      <w:r>
        <w:t>Disclosures must be made before the employee participates in the decision. If the conflict becomes known later, the employee must disclose it immediately and step back from further involvement until compliance reviews the case.</w:t>
      </w:r>
    </w:p>
    <w:p>
      <w:pPr>
        <w:spacing w:after="120" w:line="269" w:lineRule="auto"/>
      </w:pPr>
      <w:r>
        <w:t>Managers should not decide conflict matters informally. Procurement, compensation, and hiring cases must be escalated so that the review and any mitigation plan are documented.</w:t>
      </w:r>
    </w:p>
    <w:p>
      <w:pPr>
        <w:pStyle w:val="Heading1"/>
        <w:spacing w:before="180" w:after="60"/>
      </w:pPr>
      <w:r>
        <w:t>Examples</w:t>
      </w:r>
    </w:p>
    <w:p>
      <w:pPr>
        <w:spacing w:after="120" w:line="269" w:lineRule="auto"/>
      </w:pPr>
      <w:r>
        <w:t>Example: A manager wants to hire a former business partner into their own team. The manager must disclose the relationship and remove themselves from the interview and offer approval chain.</w:t>
      </w:r>
    </w:p>
    <w:p>
      <w:pPr>
        <w:spacing w:after="120" w:line="269" w:lineRule="auto"/>
      </w:pPr>
      <w:r>
        <w:t>Example: An employee on the travel committee is offered free event tickets by a preferred hotel chain. Even if the value seems modest, the offer should be declined or disclosed before any related decision is made.</w:t>
      </w:r>
    </w:p>
    <w:p>
      <w:pPr>
        <w:pStyle w:val="Heading1"/>
        <w:spacing w:before="180" w:after="60"/>
      </w:pPr>
      <w:r>
        <w:t>Governance</w:t>
      </w:r>
    </w:p>
    <w:p>
      <w:pPr>
        <w:spacing w:after="120" w:line="269" w:lineRule="auto"/>
      </w:pPr>
      <w:r>
        <w:t>This document should be read together with AR-HR-007, AR-HR-028, AR-HR-050. Where a process touches payroll, leave, performance, or data privacy, the specialized document governs the detailed step-by-step rules and this document supplies the policy intent.</w:t>
      </w:r>
    </w:p>
    <w:p>
      <w:pPr>
        <w:spacing w:after="120" w:line="269" w:lineRule="auto"/>
      </w:pPr>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pPr>
        <w:spacing w:after="120" w:line="269" w:lineRule="auto"/>
      </w:pPr>
      <w:r>
        <w:t>Examples in this document are illustrative and are included to clarify how the policy is applied in common workplace situations. They do not replace local legal requirements or country-specific statutory entitlements.</w:t>
      </w:r>
    </w:p>
    <w:p>
      <w:pPr>
        <w:pStyle w:val="Heading1"/>
        <w:spacing w:before="180" w:after="60"/>
      </w:pPr>
      <w:r>
        <w:t>Illustrative FAQ</w:t>
      </w:r>
    </w:p>
    <w:p>
      <w:pPr>
        <w:pStyle w:val="ListBullet"/>
        <w:spacing w:after="60"/>
      </w:pPr>
      <w:r>
        <w:t>Who should I contact first? Start with compliance@company.com. If the issue belongs to another team, the receiving team will redirect it or ask the right function to join.</w:t>
      </w:r>
    </w:p>
    <w:p>
      <w:pPr>
        <w:pStyle w:val="ListBullet"/>
        <w:spacing w:after="60"/>
      </w:pPr>
      <w:r>
        <w:t>Can a manager override the policy verbally? No. Managers may explain context and recommend an exception, but decisions that affect pay, statutory rights, benefits, privacy, or discipline must follow the documented process.</w:t>
      </w:r>
    </w:p>
    <w:p>
      <w:pPr>
        <w:pStyle w:val="ListBullet"/>
        <w:spacing w:after="60"/>
      </w:pPr>
      <w:r>
        <w:t>What happens when Argentine labor law, a collective agreement, or a written employment term conflicts with this document? The more protective local requirement or written term controls.</w:t>
      </w:r>
    </w:p>
    <w:sectPr w:rsidR="00FC693F" w:rsidRPr="0006063C" w:rsidSect="00034616">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F5496"/>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386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3864"/>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