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Whistleblower Reporting Policy</w:t>
      </w:r>
    </w:p>
    <w:p>
      <w:pPr>
        <w:spacing w:after="120" w:line="269" w:lineRule="auto"/>
      </w:pPr>
      <w:r>
        <w:t>AR-HR-007  |  Category: Compliance  |  Country: Argentina  |  Version 3.0</w:t>
      </w:r>
    </w:p>
    <w:p>
      <w:pPr>
        <w:spacing w:after="120" w:line="269" w:lineRule="auto"/>
      </w:pPr>
      <w:r>
        <w:t>Policy owner: compliance@company.com  |  Related documents: AR-HR-004, AR-HR-006, AR-HR-050</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whistleblower reporting.</w:t>
      </w:r>
    </w:p>
    <w:p>
      <w:pPr>
        <w:spacing w:after="120" w:line="269" w:lineRule="auto"/>
      </w:pPr>
      <w:r>
        <w:t>Questions about this document should be sent to compliance@company.com.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The whistleblower process exists for concerns involving fraud, bribery, theft, financial misstatement, deliberate policy evasion, or other serious misconduct where ordinary manager escalation may be insufficient or inappropriate.</w:t>
      </w:r>
    </w:p>
    <w:p>
      <w:pPr>
        <w:pStyle w:val="Heading2"/>
        <w:spacing w:before="140" w:after="40"/>
      </w:pPr>
      <w:r>
        <w:t>Quick Reference</w:t>
      </w:r>
    </w:p>
    <w:p>
      <w:pPr>
        <w:pStyle w:val="ListBullet"/>
        <w:spacing w:after="60"/>
      </w:pPr>
      <w:r>
        <w:t>Questions: compliance@company.com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What Should Be Reported</w:t>
      </w:r>
    </w:p>
    <w:p>
      <w:pPr>
        <w:spacing w:after="120" w:line="269" w:lineRule="auto"/>
      </w:pPr>
      <w:r>
        <w:t>Examples include falsifying expense claims, creating ghost workers, manipulating time records, bribery or kickback schemes, intentionally hiding payroll errors, and destroying records that are subject to retention or audit obligations.</w:t>
      </w:r>
    </w:p>
    <w:p>
      <w:pPr>
        <w:spacing w:after="120" w:line="269" w:lineRule="auto"/>
      </w:pPr>
      <w:r>
        <w:t>Routine interpersonal concerns, scheduling disputes, and ordinary performance questions should usually go through the People Team at peopleteam@company.com unless they also contain a serious ethics dimension.</w:t>
      </w:r>
    </w:p>
    <w:p>
      <w:pPr>
        <w:pStyle w:val="Heading1"/>
        <w:spacing w:before="180" w:after="60"/>
      </w:pPr>
      <w:r>
        <w:t>Confidentiality and Handling</w:t>
      </w:r>
    </w:p>
    <w:p>
      <w:pPr>
        <w:spacing w:after="120" w:line="269" w:lineRule="auto"/>
      </w:pPr>
      <w:r>
        <w:t>Reports may be made anonymously where local law permits. Anonymous reporting can limit follow-up, so employees are encouraged to provide enough detail that compliance can evaluate dates, systems, approvals, or affected transactions.</w:t>
      </w:r>
    </w:p>
    <w:p>
      <w:pPr>
        <w:spacing w:after="120" w:line="269" w:lineRule="auto"/>
      </w:pPr>
      <w:r>
        <w:t>Compliance assigns a case number, assesses materiality, preserves evidence where needed, and involves legal, internal audit, payroll, or HR based on the subject matter. Retaliation protections in AR-HR-004 apply fully to whistleblower reports.</w:t>
      </w:r>
    </w:p>
    <w:p>
      <w:pPr>
        <w:pStyle w:val="Heading1"/>
        <w:spacing w:before="180" w:after="60"/>
      </w:pPr>
      <w:r>
        <w:t>Examples</w:t>
      </w:r>
    </w:p>
    <w:p>
      <w:pPr>
        <w:spacing w:after="120" w:line="269" w:lineRule="auto"/>
      </w:pPr>
      <w:r>
        <w:t>Example: A payroll coordinator is asked to hold back a final-pay adjustment until the next quarter to make departmental costs look lower. This should be reported as a potential ethics and wage-compliance issue.</w:t>
      </w:r>
    </w:p>
    <w:p>
      <w:pPr>
        <w:spacing w:after="120" w:line="269" w:lineRule="auto"/>
      </w:pPr>
      <w:r>
        <w:t>Example: A manager directs a team member to mark personal expenses as client entertainment. Even if the total amount is small, the conduct is still reportable because it involves deliberate falsification.</w:t>
      </w:r>
    </w:p>
    <w:p>
      <w:pPr>
        <w:pStyle w:val="Heading1"/>
        <w:spacing w:before="180" w:after="60"/>
      </w:pPr>
      <w:r>
        <w:t>Governance</w:t>
      </w:r>
    </w:p>
    <w:p>
      <w:pPr>
        <w:spacing w:after="120" w:line="269" w:lineRule="auto"/>
      </w:pPr>
      <w:r>
        <w:t>This document should be read together with AR-HR-004, AR-HR-006, AR-HR-050.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compliance@company.com.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