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80"/>
      </w:pPr>
      <w:r>
        <w:t>Medical, Dental, and Vision Benefits Guide</w:t>
      </w:r>
    </w:p>
    <w:p>
      <w:pPr>
        <w:spacing w:after="120" w:line="269" w:lineRule="auto"/>
      </w:pPr>
      <w:r>
        <w:t>AR-HR-013  |  Category: Benefits  |  Country: Argentina  |  Version 3.0</w:t>
      </w:r>
    </w:p>
    <w:p>
      <w:pPr>
        <w:spacing w:after="120" w:line="269" w:lineRule="auto"/>
      </w:pPr>
      <w:r>
        <w:t>Policy owner: benefits@company.com  |  Related documents: AR-HR-011, AR-HR-012, AR-HR-017</w:t>
      </w:r>
    </w:p>
    <w:p>
      <w:pPr>
        <w:pStyle w:val="Heading1"/>
        <w:spacing w:before="180" w:after="60"/>
      </w:pPr>
      <w:r>
        <w:t>Policy Summary</w:t>
      </w:r>
    </w:p>
    <w:p>
      <w:pPr>
        <w:spacing w:after="120" w:line="269" w:lineRule="auto"/>
      </w:pPr>
      <w:r>
        <w:t>This guide summarizes the main rules, eligibility criteria, timelines, and examples related to medical, dental, and vision benefits.</w:t>
      </w:r>
    </w:p>
    <w:p>
      <w:pPr>
        <w:spacing w:after="120" w:line="269" w:lineRule="auto"/>
      </w:pPr>
      <w:r>
        <w:t>Questions about this document should be sent to benefits@company.com. When a matter spans more than one process, the receiving team may coordinate with the relevant function named in the related documents.</w:t>
      </w:r>
    </w:p>
    <w:p>
      <w:pPr>
        <w:spacing w:after="120" w:line="269" w:lineRule="auto"/>
      </w:pPr>
      <w:r>
        <w:t>This Argentina edition applies to employees hired on the Argentina payroll. Argentine labor law, collective bargaining obligations where applicable, and written employment terms control where they provide greater protection or require a different process.</w:t>
      </w:r>
    </w:p>
    <w:p>
      <w:pPr>
        <w:spacing w:after="120" w:line="269" w:lineRule="auto"/>
      </w:pPr>
      <w:r>
        <w:t>This guide explains the main categories of health-related coverage used in Argentina. Exact copayment rules, provider access, dental coverage, dependent eligibility, and reimbursement features depend on the local plan summary and plan-administrator materials.</w:t>
      </w:r>
    </w:p>
    <w:p>
      <w:pPr>
        <w:pStyle w:val="Heading2"/>
        <w:spacing w:before="140" w:after="40"/>
      </w:pPr>
      <w:r>
        <w:t>Quick Reference</w:t>
      </w:r>
    </w:p>
    <w:p>
      <w:pPr>
        <w:pStyle w:val="ListBullet"/>
        <w:spacing w:after="60"/>
      </w:pPr>
      <w:r>
        <w:t>Questions: benefits@company.com</w:t>
      </w:r>
    </w:p>
    <w:p>
      <w:pPr>
        <w:pStyle w:val="ListBullet"/>
        <w:spacing w:after="60"/>
      </w:pPr>
      <w:r>
        <w:t>Eligibility: employees on Argentina payroll</w:t>
      </w:r>
    </w:p>
    <w:p>
      <w:pPr>
        <w:pStyle w:val="ListBullet"/>
        <w:spacing w:after="60"/>
      </w:pPr>
      <w:r>
        <w:t>Life-event change window: 30 calendar days</w:t>
      </w:r>
    </w:p>
    <w:p>
      <w:pPr>
        <w:pStyle w:val="Heading1"/>
        <w:spacing w:before="180" w:after="60"/>
      </w:pPr>
      <w:r>
        <w:t>Coverage Overview</w:t>
      </w:r>
    </w:p>
    <w:p>
      <w:pPr>
        <w:spacing w:after="120" w:line="269" w:lineRule="auto"/>
      </w:pPr>
      <w:r>
        <w:t>Employees should follow the local administrator instructions for provider lookup, authorization, and reimbursement. Depending on plan design, certain outpatient or dental services may require copayments, referrals, or pre-authorization.</w:t>
      </w:r>
    </w:p>
    <w:p>
      <w:pPr>
        <w:spacing w:after="120" w:line="269" w:lineRule="auto"/>
      </w:pPr>
      <w:r>
        <w:t>Benefits can help employees understand the process and who to contact, but coverage decisions are made by the obra social, prepaga, insurer, or administrator according to the local plan terms and law.</w:t>
      </w:r>
    </w:p>
    <w:p>
      <w:pPr>
        <w:pStyle w:val="Heading1"/>
        <w:spacing w:before="180" w:after="60"/>
      </w:pPr>
      <w:r>
        <w:t>Examples</w:t>
      </w:r>
    </w:p>
    <w:p>
      <w:pPr>
        <w:spacing w:after="120" w:line="269" w:lineRule="auto"/>
      </w:pPr>
      <w:r>
        <w:t>If an employee changes legal name or dependent status, they should update the HRIS, payroll records, and the local plan portal so provider and claims records stay aligned.</w:t>
      </w:r>
    </w:p>
    <w:p>
      <w:pPr>
        <w:spacing w:after="120" w:line="269" w:lineRule="auto"/>
      </w:pPr>
      <w:r>
        <w:t>If a planned treatment requires authorization, the employee should start the request early and keep benefits informed if the provider needs employer confirmation.</w:t>
      </w:r>
    </w:p>
    <w:p>
      <w:pPr>
        <w:pStyle w:val="Heading1"/>
        <w:spacing w:before="180" w:after="60"/>
      </w:pPr>
      <w:r>
        <w:t>Governance</w:t>
      </w:r>
    </w:p>
    <w:p>
      <w:pPr>
        <w:spacing w:after="120" w:line="269" w:lineRule="auto"/>
      </w:pPr>
      <w:r>
        <w:t>This document should be read together with AR-HR-011, AR-HR-012, AR-HR-017. Where a process touches payroll, leave, performance, or data privacy, the specialized document governs the detailed step-by-step rules and this document supplies the policy intent.</w:t>
      </w:r>
    </w:p>
    <w:p>
      <w:pPr>
        <w:spacing w:after="120" w:line="269" w:lineRule="auto"/>
      </w:pPr>
      <w:r>
        <w:t>Managers are expected to apply policy consistently, document exceptions, and avoid verbal promises that override published rules. HR teams must keep case information on a need-to-know basis and use written summaries whenever a decision materially affects pay, benefits, schedule, or employment status.</w:t>
      </w:r>
    </w:p>
    <w:p>
      <w:pPr>
        <w:spacing w:after="120" w:line="269" w:lineRule="auto"/>
      </w:pPr>
      <w:r>
        <w:t>Examples in this document are illustrative and are included to clarify how the policy is applied in common workplace situations. They do not replace local legal requirements or country-specific statutory entitlements.</w:t>
      </w:r>
    </w:p>
    <w:p>
      <w:pPr>
        <w:pStyle w:val="Heading1"/>
        <w:spacing w:before="180" w:after="60"/>
      </w:pPr>
      <w:r>
        <w:t>Illustrative FAQ</w:t>
      </w:r>
    </w:p>
    <w:p>
      <w:pPr>
        <w:pStyle w:val="ListBullet"/>
        <w:spacing w:after="60"/>
      </w:pPr>
      <w:r>
        <w:t>Who should I contact first? Start with benefits@company.com. If the issue belongs to another team, the receiving team will redirect it or ask the right function to join.</w:t>
      </w:r>
    </w:p>
    <w:p>
      <w:pPr>
        <w:pStyle w:val="ListBullet"/>
        <w:spacing w:after="60"/>
      </w:pPr>
      <w:r>
        <w:t>Can a manager override the policy verbally? No. Managers may explain context and recommend an exception, but decisions that affect pay, statutory rights, benefits, privacy, or discipline must follow the documented process.</w:t>
      </w:r>
    </w:p>
    <w:p>
      <w:pPr>
        <w:pStyle w:val="ListBullet"/>
        <w:spacing w:after="60"/>
      </w:pPr>
      <w:r>
        <w:t>What happens when Argentine labor law, a collective agreement, or a written employment term conflicts with this document? The more protective local requirement or written term controls.</w:t>
      </w:r>
    </w:p>
    <w:sectPr w:rsidR="00FC693F" w:rsidRPr="0006063C" w:rsidSect="00034616">
      <w:pgSz w:w="12240" w:h="15840"/>
      <w:pgMar w:top="1080"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2F5496"/>
      <w:sz w:val="25"/>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3864"/>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3864"/>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