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Annual Vacation Entitlement Policy</w:t>
      </w:r>
    </w:p>
    <w:p>
      <w:pPr>
        <w:spacing w:after="120" w:line="269" w:lineRule="auto"/>
      </w:pPr>
      <w:r>
        <w:t>AR-HR-016  |  Category: Leave  |  Country: Argentina  |  Version 3.0</w:t>
      </w:r>
    </w:p>
    <w:p>
      <w:pPr>
        <w:spacing w:after="120" w:line="269" w:lineRule="auto"/>
      </w:pPr>
      <w:r>
        <w:t>Policy owner: peopleteam@company.com  |  Related documents: AR-HR-020, AR-HR-021, AR-HR-022, AR-HR-038</w:t>
      </w:r>
    </w:p>
    <w:p>
      <w:pPr>
        <w:pStyle w:val="Heading1"/>
        <w:spacing w:before="180" w:after="60"/>
      </w:pPr>
      <w:r>
        <w:t>Policy Summary</w:t>
      </w:r>
    </w:p>
    <w:p>
      <w:pPr>
        <w:spacing w:after="120" w:line="269" w:lineRule="auto"/>
      </w:pPr>
      <w:r>
        <w:t>This policy sets out the company's rules, responsibilities, and approval requirements for annual vacation entitlement.</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spacing w:after="120" w:line="269" w:lineRule="auto"/>
      </w:pPr>
      <w:r>
        <w:t>Annual vacation in Argentina is managed as statutory paid vacation rather than a general PTO bank. Entitlement is 14 calendar days for employees with under 5 years of service, 21 days for 5 to 9 years, 28 days for 10 to 19 years, and 35 days for 20 or more years of service. Employees who have not worked enough days in the year may receive vacation on a proportional one-day-per-20-days-worked basis under local rules.</w:t>
      </w:r>
    </w:p>
    <w:p>
      <w:pPr>
        <w:pStyle w:val="Heading2"/>
        <w:spacing w:before="140" w:after="40"/>
      </w:pPr>
      <w:r>
        <w:t>Quick Reference</w:t>
      </w:r>
    </w:p>
    <w:p>
      <w:pPr>
        <w:pStyle w:val="ListBullet"/>
        <w:spacing w:after="60"/>
      </w:pPr>
      <w:r>
        <w:t>Questions: peopleteam@company.com</w:t>
      </w:r>
    </w:p>
    <w:p>
      <w:pPr>
        <w:pStyle w:val="ListBullet"/>
        <w:spacing w:after="60"/>
      </w:pPr>
      <w:r>
        <w:t>Managers approve ordinary planned leave; HR owns exceptions and statutory leave review.</w:t>
      </w:r>
    </w:p>
    <w:p>
      <w:pPr>
        <w:pStyle w:val="ListBullet"/>
        <w:spacing w:after="60"/>
      </w:pPr>
      <w:r>
        <w:t>Employees should submit leave requests through the HRIS; questions about balances or exceptions can be sent to peopleteam@company.com so that approvals remain auditable.</w:t>
      </w:r>
    </w:p>
    <w:p>
      <w:pPr>
        <w:pStyle w:val="Heading1"/>
        <w:spacing w:before="180" w:after="60"/>
      </w:pPr>
      <w:r>
        <w:t>Accrual and Carryover</w:t>
      </w:r>
    </w:p>
    <w:p>
      <w:pPr>
        <w:spacing w:after="120" w:line="269" w:lineRule="auto"/>
      </w:pPr>
      <w:r>
        <w:t>Vacation should be scheduled with enough lead time to support business coverage and any local notice requirements. Managers should coordinate dates early so operational coverage is maintained and approved records reflect the actual schedule.</w:t>
      </w:r>
    </w:p>
    <w:p>
      <w:pPr>
        <w:spacing w:after="120" w:line="269" w:lineRule="auto"/>
      </w:pPr>
      <w:r>
        <w:t>Employees hired during the second half of the year or who do not meet the annual-work threshold may have vacation calculated on a proportional basis under local rules. Employees returning from unpaid or protected leave should confirm the updated schedule with the People Team.</w:t>
      </w:r>
    </w:p>
    <w:p>
      <w:pPr>
        <w:pStyle w:val="Heading1"/>
        <w:spacing w:before="180" w:after="60"/>
      </w:pPr>
      <w:r>
        <w:t>Use of Annual Leave</w:t>
      </w:r>
    </w:p>
    <w:p>
      <w:pPr>
        <w:spacing w:after="120" w:line="269" w:lineRule="auto"/>
      </w:pPr>
      <w:r>
        <w:t>Annual leave is intended for vacation, rest, personal matters, and short planned absences. It should not be used to avoid the reporting and documentation rules for medical leave, parental leave, bereavement leave, or other specialized leave types.</w:t>
      </w:r>
    </w:p>
    <w:p>
      <w:pPr>
        <w:spacing w:after="120" w:line="269" w:lineRule="auto"/>
      </w:pPr>
      <w:r>
        <w:t>Managers may deny a requested date when business coverage would be materially harmed, but they should propose alternatives and apply the same standard across similar roles.</w:t>
      </w:r>
    </w:p>
    <w:p>
      <w:pPr>
        <w:pStyle w:val="Heading1"/>
        <w:spacing w:before="180" w:after="60"/>
      </w:pPr>
      <w:r>
        <w:t>Example</w:t>
      </w:r>
    </w:p>
    <w:p>
      <w:pPr>
        <w:spacing w:after="120" w:line="269" w:lineRule="auto"/>
      </w:pPr>
      <w:r>
        <w:t>An employee with 6 years of service normally has 21 calendar days of annual vacation and should confirm dates in writing with enough lead time for payroll and coverage planning.</w:t>
      </w:r>
    </w:p>
    <w:p>
      <w:pPr>
        <w:pStyle w:val="Heading1"/>
        <w:spacing w:before="180" w:after="60"/>
      </w:pPr>
      <w:r>
        <w:t>Governance</w:t>
      </w:r>
    </w:p>
    <w:p>
      <w:pPr>
        <w:spacing w:after="120" w:line="269" w:lineRule="auto"/>
      </w:pPr>
      <w:r>
        <w:t>This document should be read together with AR-HR-020, AR-HR-021, AR-HR-022, AR-HR-038.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