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Sick Leave and Medical Absence Policy</w:t>
      </w:r>
    </w:p>
    <w:p>
      <w:pPr>
        <w:spacing w:after="120" w:line="269" w:lineRule="auto"/>
      </w:pPr>
      <w:r>
        <w:t>AR-HR-017  |  Category: Leave  |  Country: Argentina  |  Version 3.0</w:t>
      </w:r>
    </w:p>
    <w:p>
      <w:pPr>
        <w:spacing w:after="120" w:line="269" w:lineRule="auto"/>
      </w:pPr>
      <w:r>
        <w:t>Policy owner: peopleteam@company.com  |  Related documents: AR-HR-010, AR-HR-013, AR-HR-020, AR-HR-021</w:t>
      </w:r>
    </w:p>
    <w:p>
      <w:pPr>
        <w:pStyle w:val="Heading1"/>
        <w:spacing w:before="180" w:after="60"/>
      </w:pPr>
      <w:r>
        <w:t>Policy Summary</w:t>
      </w:r>
    </w:p>
    <w:p>
      <w:pPr>
        <w:spacing w:after="120" w:line="269" w:lineRule="auto"/>
      </w:pPr>
      <w:r>
        <w:t>This policy sets out the company's rules, responsibilities, and approval requirements for sick leave and medical absence.</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spacing w:after="120" w:line="269" w:lineRule="auto"/>
      </w:pPr>
      <w:r>
        <w:t>Employees who are absent due to illness or injury must notify the company promptly and provide medical support when required. Under Argentina rules, paid sick leave may extend up to 3 months for employees with under 5 years of service and up to 6 months for employees with 5 or more years of service; where the employee has qualifying dependents, these periods may be doubled under local law.</w:t>
      </w:r>
    </w:p>
    <w:p>
      <w:pPr>
        <w:pStyle w:val="Heading2"/>
        <w:spacing w:before="140" w:after="40"/>
      </w:pPr>
      <w:r>
        <w:t>Quick Reference</w:t>
      </w:r>
    </w:p>
    <w:p>
      <w:pPr>
        <w:pStyle w:val="ListBullet"/>
        <w:spacing w:after="60"/>
      </w:pPr>
      <w:r>
        <w:t>Questions: peopleteam@company.com</w:t>
      </w:r>
    </w:p>
    <w:p>
      <w:pPr>
        <w:pStyle w:val="ListBullet"/>
        <w:spacing w:after="60"/>
      </w:pPr>
      <w:r>
        <w:t>Managers approve ordinary planned leave; HR owns exceptions and statutory leave review.</w:t>
      </w:r>
    </w:p>
    <w:p>
      <w:pPr>
        <w:pStyle w:val="ListBullet"/>
        <w:spacing w:after="60"/>
      </w:pPr>
      <w:r>
        <w:t>Employees should record absences through the HRIS when available; questions about medical absence documentation or return-to-work steps can be sent to peopleteam@company.com.</w:t>
      </w:r>
    </w:p>
    <w:p>
      <w:pPr>
        <w:pStyle w:val="Heading1"/>
        <w:spacing w:before="180" w:after="60"/>
      </w:pPr>
      <w:r>
        <w:t>Reporting and Documentation</w:t>
      </w:r>
    </w:p>
    <w:p>
      <w:pPr>
        <w:spacing w:after="120" w:line="269" w:lineRule="auto"/>
      </w:pPr>
      <w:r>
        <w:t>Employees should notify their manager on the first day of absence and upload the certificate promptly when a certificate is required by the local process. Repeated or longer absences may move into the extended-leave procedure.</w:t>
      </w:r>
    </w:p>
    <w:p>
      <w:pPr>
        <w:spacing w:after="120" w:line="269" w:lineRule="auto"/>
      </w:pPr>
      <w:r>
        <w:t>Employees should share only the information needed for scheduling and case handling. Detailed diagnosis is not normally required unless local law or insurer administration makes it necessary.</w:t>
      </w:r>
    </w:p>
    <w:p>
      <w:pPr>
        <w:pStyle w:val="Heading1"/>
        <w:spacing w:before="180" w:after="60"/>
      </w:pPr>
      <w:r>
        <w:t>When Cases Become Extended Leave</w:t>
      </w:r>
    </w:p>
    <w:p>
      <w:pPr>
        <w:spacing w:after="120" w:line="269" w:lineRule="auto"/>
      </w:pPr>
      <w:r>
        <w:t>When a medical absence is expected to continue beyond a short period, affects fitness for duty, or requires periodic certification, the case moves into the extended-leave procedure so documentation, payroll, benefits, and return-to-work steps are coordinated consistently.</w:t>
      </w:r>
    </w:p>
    <w:p>
      <w:pPr>
        <w:pStyle w:val="Heading1"/>
        <w:spacing w:before="180" w:after="60"/>
      </w:pPr>
      <w:r>
        <w:t>Governance</w:t>
      </w:r>
    </w:p>
    <w:p>
      <w:pPr>
        <w:spacing w:after="120" w:line="269" w:lineRule="auto"/>
      </w:pPr>
      <w:r>
        <w:t>This document should be read together with AR-HR-010, AR-HR-013, AR-HR-020, AR-HR-021.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