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Parental Leave Policy</w:t>
      </w:r>
    </w:p>
    <w:p>
      <w:pPr>
        <w:spacing w:after="120" w:line="269" w:lineRule="auto"/>
      </w:pPr>
      <w:r>
        <w:t>AR-HR-018  |  Category: Leave  |  Country: Argentina  |  Version 3.0</w:t>
      </w:r>
    </w:p>
    <w:p>
      <w:pPr>
        <w:spacing w:after="120" w:line="269" w:lineRule="auto"/>
      </w:pPr>
      <w:r>
        <w:t>Policy owner: peopleteam@company.com  |  Related documents: AR-HR-012, AR-HR-020, AR-HR-021, AR-HR-047</w:t>
      </w:r>
    </w:p>
    <w:p>
      <w:pPr>
        <w:pStyle w:val="Heading1"/>
        <w:spacing w:before="180" w:after="60"/>
      </w:pPr>
      <w:r>
        <w:t>Policy Summary</w:t>
      </w:r>
    </w:p>
    <w:p>
      <w:pPr>
        <w:spacing w:after="120" w:line="269" w:lineRule="auto"/>
      </w:pPr>
      <w:r>
        <w:t>This policy sets out the company's rules, responsibilities, and approval requirements for parental leave.</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Employees may take paid leave related to birth, adoption, or long-term foster placement in line with Argentina requirements and the company's local schedule. Birthing-parent leave is administered on a 90-calendar-day basis under the local framework, and supporting-caregiver leave is 2 consecutive calendar days unless a more protective local term applies.</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Employees should submit parental-leave requests through the HRIS when available; questions about eligibility, timing, or documentation can be sent to peopleteam@company.com.</w:t>
      </w:r>
    </w:p>
    <w:p>
      <w:pPr>
        <w:pStyle w:val="Heading1"/>
        <w:spacing w:before="180" w:after="60"/>
      </w:pPr>
      <w:r>
        <w:t>Eligibility and Timing</w:t>
      </w:r>
    </w:p>
    <w:p>
      <w:pPr>
        <w:spacing w:after="120" w:line="269" w:lineRule="auto"/>
      </w:pPr>
      <w:r>
        <w:t>Employees should notify peopleteam@company.com as early as practical so payroll, benefits, and handover planning can be coordinated. Where ANSES, civil-registry, or plan-administration documentation applies, the employee may be asked to complete extra forms.</w:t>
      </w:r>
    </w:p>
    <w:p>
      <w:pPr>
        <w:spacing w:after="120" w:line="269" w:lineRule="auto"/>
      </w:pPr>
      <w:r>
        <w:t>Employees should confirm the intended start date, expected return date, and any handover plan in writing. Payroll and benefits coordination may require supporting documents and lead time.</w:t>
      </w:r>
    </w:p>
    <w:p>
      <w:pPr>
        <w:pStyle w:val="Heading1"/>
        <w:spacing w:before="180" w:after="60"/>
      </w:pPr>
      <w:r>
        <w:t>Examples</w:t>
      </w:r>
    </w:p>
    <w:p>
      <w:pPr>
        <w:spacing w:after="120" w:line="269" w:lineRule="auto"/>
      </w:pPr>
      <w:r>
        <w:t>A manager who learns of an upcoming parental leave should begin coverage planning early and avoid waiting until the last moment to transfer critical responsibilities.</w:t>
      </w:r>
    </w:p>
    <w:p>
      <w:pPr>
        <w:spacing w:after="120" w:line="269" w:lineRule="auto"/>
      </w:pPr>
      <w:r>
        <w:t>Employees should not assume that different local programs, registry filings, or insurer reimbursements happen automatically; they should follow the instructions provided by the People Team for their location.</w:t>
      </w:r>
    </w:p>
    <w:p>
      <w:pPr>
        <w:pStyle w:val="Heading1"/>
        <w:spacing w:before="180" w:after="60"/>
      </w:pPr>
      <w:r>
        <w:t>Governance</w:t>
      </w:r>
    </w:p>
    <w:p>
      <w:pPr>
        <w:spacing w:after="120" w:line="269" w:lineRule="auto"/>
      </w:pPr>
      <w:r>
        <w:t>This document should be read together with AR-HR-012, AR-HR-020, AR-HR-021, AR-HR-047.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