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Holiday Calendar and Regional Observance Policy</w:t>
      </w:r>
    </w:p>
    <w:p>
      <w:pPr>
        <w:spacing w:after="120" w:line="269" w:lineRule="auto"/>
      </w:pPr>
      <w:r>
        <w:t>AR-HR-022  |  Category: Leave  |  Country: Argentina  |  Version 3.0</w:t>
      </w:r>
    </w:p>
    <w:p>
      <w:pPr>
        <w:spacing w:after="120" w:line="269" w:lineRule="auto"/>
      </w:pPr>
      <w:r>
        <w:t>Policy owner: peopleteam@company.com  |  Related documents: AR-HR-016, AR-HR-020, AR-HR-038</w:t>
      </w:r>
    </w:p>
    <w:p>
      <w:pPr>
        <w:pStyle w:val="Heading1"/>
        <w:spacing w:before="180" w:after="60"/>
      </w:pPr>
      <w:r>
        <w:t>Policy Summary</w:t>
      </w:r>
    </w:p>
    <w:p>
      <w:pPr>
        <w:spacing w:after="120" w:line="269" w:lineRule="auto"/>
      </w:pPr>
      <w:r>
        <w:t>This policy sets out the company's rules, responsibilities, and approval requirements for holiday calendar and regional observance.</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The Argentina calendar combines national holidays with provincial and local holidays, so the published list varies by location. Business units may designate substitute days or bridge days where work is required on a local public holiday.</w:t>
      </w:r>
    </w:p>
    <w:p>
      <w:pPr>
        <w:pStyle w:val="Heading2"/>
        <w:spacing w:before="140" w:after="40"/>
      </w:pPr>
      <w:r>
        <w:t>Quick Reference</w:t>
      </w:r>
    </w:p>
    <w:p>
      <w:pPr>
        <w:pStyle w:val="ListBullet"/>
        <w:spacing w:after="60"/>
      </w:pPr>
      <w:r>
        <w:t>Questions: peopleteam@company.com</w:t>
      </w:r>
    </w:p>
    <w:p>
      <w:pPr>
        <w:pStyle w:val="ListBullet"/>
        <w:spacing w:after="60"/>
      </w:pPr>
      <w:r>
        <w:t>Managers approve ordinary planned leave; HR owns exceptions and statutory leave review.</w:t>
      </w:r>
    </w:p>
    <w:p>
      <w:pPr>
        <w:pStyle w:val="ListBullet"/>
        <w:spacing w:after="60"/>
      </w:pPr>
      <w:r>
        <w:t>Questions about regional holiday calendars, bridge days, or local observances can be sent to peopleteam@company.com.</w:t>
      </w:r>
    </w:p>
    <w:p>
      <w:pPr>
        <w:pStyle w:val="Heading1"/>
        <w:spacing w:before="180" w:after="60"/>
      </w:pPr>
      <w:r>
        <w:t>Holiday Administration</w:t>
      </w:r>
    </w:p>
    <w:p>
      <w:pPr>
        <w:spacing w:after="120" w:line="269" w:lineRule="auto"/>
      </w:pPr>
      <w:r>
        <w:t>The holiday calendar should identify national holidays, local municipal holidays, and any substitute work arrangements for client-support teams. Employees should check the location-specific calendar before planning travel or leave.</w:t>
      </w:r>
    </w:p>
    <w:p>
      <w:pPr>
        <w:spacing w:after="120" w:line="269" w:lineRule="auto"/>
      </w:pPr>
      <w:r>
        <w:t>Where a holiday falls on a weekend, the observed day is defined in the local payroll calendar or country schedule rather than assumed automatically.</w:t>
      </w:r>
    </w:p>
    <w:p>
      <w:pPr>
        <w:pStyle w:val="Heading1"/>
        <w:spacing w:before="180" w:after="60"/>
      </w:pPr>
      <w:r>
        <w:t>Examples</w:t>
      </w:r>
    </w:p>
    <w:p>
      <w:pPr>
        <w:spacing w:after="120" w:line="269" w:lineRule="auto"/>
      </w:pPr>
      <w:r>
        <w:t>Client-support teams may occasionally work on a public holiday because of contractual coverage obligations. In that case, the manager must confirm the substitute-day, overtime, or premium-pay treatment before the shift is worked.</w:t>
      </w:r>
    </w:p>
    <w:p>
      <w:pPr>
        <w:spacing w:after="120" w:line="269" w:lineRule="auto"/>
      </w:pPr>
      <w:r>
        <w:t>Employees should not book non-refundable travel on the assumption that a rumored bridge day or festival date will become a company holiday before the final schedule is published.</w:t>
      </w:r>
    </w:p>
    <w:p>
      <w:pPr>
        <w:pStyle w:val="Heading1"/>
        <w:spacing w:before="180" w:after="60"/>
      </w:pPr>
      <w:r>
        <w:t>Governance</w:t>
      </w:r>
    </w:p>
    <w:p>
      <w:pPr>
        <w:spacing w:after="120" w:line="269" w:lineRule="auto"/>
      </w:pPr>
      <w:r>
        <w:t>This document should be read together with AR-HR-016, AR-HR-020, AR-HR-038.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