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Travel and Business Expense Approval Rules</w:t>
      </w:r>
    </w:p>
    <w:p>
      <w:pPr>
        <w:spacing w:after="120" w:line="269" w:lineRule="auto"/>
      </w:pPr>
      <w:r>
        <w:t>AR-HR-026  |  Category: Payroll  |  Country: Argentina  |  Version 3.0</w:t>
      </w:r>
    </w:p>
    <w:p>
      <w:pPr>
        <w:spacing w:after="120" w:line="269" w:lineRule="auto"/>
      </w:pPr>
      <w:r>
        <w:t>Policy owner: payroll@company.com  |  Related documents: AR-HR-025, AR-HR-049, AR-HR-050</w:t>
      </w:r>
    </w:p>
    <w:p>
      <w:pPr>
        <w:pStyle w:val="Heading1"/>
        <w:spacing w:before="180" w:after="60"/>
      </w:pPr>
      <w:r>
        <w:t>Policy Summary</w:t>
      </w:r>
    </w:p>
    <w:p>
      <w:pPr>
        <w:spacing w:after="120" w:line="269" w:lineRule="auto"/>
      </w:pPr>
      <w:r>
        <w:t>This document explains the operating rules, documentation requirements, and approval steps for travel and business expense approval.</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Domestic hotel bookings should follow the Argentina quarterly travel cap published by payroll; because local market prices move quickly, city-specific caps and daily meal guidance are issued in the current travel schedule. International travel follows the corporate USD schedule.</w:t>
      </w:r>
    </w:p>
    <w:p>
      <w:pPr>
        <w:pStyle w:val="Heading2"/>
        <w:spacing w:before="140" w:after="40"/>
      </w:pPr>
      <w:r>
        <w:t>Quick Reference</w:t>
      </w:r>
    </w:p>
    <w:p>
      <w:pPr>
        <w:pStyle w:val="ListBullet"/>
        <w:spacing w:after="60"/>
      </w:pPr>
      <w:r>
        <w:t>Questions: payroll@company.com</w:t>
      </w:r>
    </w:p>
    <w:p>
      <w:pPr>
        <w:pStyle w:val="ListBullet"/>
        <w:spacing w:after="60"/>
      </w:pPr>
      <w:r>
        <w:t>Regular payroll date: the last business day of each month</w:t>
      </w:r>
    </w:p>
    <w:p>
      <w:pPr>
        <w:pStyle w:val="ListBullet"/>
        <w:spacing w:after="60"/>
      </w:pPr>
      <w:r>
        <w:t>Off-cycle corrections are reserved for validated urgent issues.</w:t>
      </w:r>
    </w:p>
    <w:p>
      <w:pPr>
        <w:pStyle w:val="Heading1"/>
        <w:spacing w:before="180" w:after="60"/>
      </w:pPr>
      <w:r>
        <w:t>Travel and Business Expense Approval</w:t>
      </w:r>
    </w:p>
    <w:p>
      <w:pPr>
        <w:spacing w:after="120" w:line="269" w:lineRule="auto"/>
      </w:pPr>
      <w:r>
        <w:t>Air travel should be booked in economy class for flights under six hours. Premium-economy or business-class travel requires advance approval under the travel-approval matrix.</w:t>
      </w:r>
    </w:p>
    <w:p>
      <w:pPr>
        <w:spacing w:after="120" w:line="269" w:lineRule="auto"/>
      </w:pPr>
      <w:r>
        <w:t>Employees should prefer company booking channels where available so negotiated rates, duty-of-care details, and approval records stay together.</w:t>
      </w:r>
    </w:p>
    <w:p>
      <w:pPr>
        <w:pStyle w:val="Heading1"/>
        <w:spacing w:before="180" w:after="60"/>
      </w:pPr>
      <w:r>
        <w:t>Governance</w:t>
      </w:r>
    </w:p>
    <w:p>
      <w:pPr>
        <w:spacing w:after="120" w:line="269" w:lineRule="auto"/>
      </w:pPr>
      <w:r>
        <w:t>This document should be read together with AR-HR-025, AR-HR-049, AR-HR-050.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