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Onboarding First 30 Days Policy</w:t>
      </w:r>
    </w:p>
    <w:p>
      <w:pPr>
        <w:spacing w:after="120" w:line="269" w:lineRule="auto"/>
      </w:pPr>
      <w:r>
        <w:t>AR-HR-034  |  Category: Onboarding  |  Country: Argentina  |  Version 3.0</w:t>
      </w:r>
    </w:p>
    <w:p>
      <w:pPr>
        <w:spacing w:after="120" w:line="269" w:lineRule="auto"/>
      </w:pPr>
      <w:r>
        <w:t>Policy owner: onboarding@company.com  |  Related documents: AR-HR-033, AR-HR-035, AR-HR-039, AR-HR-049</w:t>
      </w:r>
    </w:p>
    <w:p>
      <w:pPr>
        <w:pStyle w:val="Heading1"/>
        <w:spacing w:before="180" w:after="60"/>
      </w:pPr>
      <w:r>
        <w:t>Policy Summary</w:t>
      </w:r>
    </w:p>
    <w:p>
      <w:pPr>
        <w:spacing w:after="120" w:line="269" w:lineRule="auto"/>
      </w:pPr>
      <w:r>
        <w:t>This policy sets out the company's rules, responsibilities, and approval requirements for onboarding first 30 days.</w:t>
      </w:r>
    </w:p>
    <w:p>
      <w:pPr>
        <w:spacing w:after="120" w:line="269" w:lineRule="auto"/>
      </w:pPr>
      <w:r>
        <w:t>Questions about this document should be sent to onboarding@company.com. When a matter spans more than one process, the receiving team may coordinate with the relevant function named in the related documents.</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spacing w:after="120" w:line="269" w:lineRule="auto"/>
      </w:pPr>
      <w:r>
        <w:t>During the first 30 days, new hires are expected to complete hiring paperwork, benefits setup, IT access, manager check-ins, and mandatory training. Argentina hires should be ready to provide DNI, CUIL, bank CBU details, address confirmation, and any information required for payroll and local benefits administration.</w:t>
      </w:r>
    </w:p>
    <w:p>
      <w:pPr>
        <w:pStyle w:val="Heading2"/>
        <w:spacing w:before="140" w:after="40"/>
      </w:pPr>
      <w:r>
        <w:t>Quick Reference</w:t>
      </w:r>
    </w:p>
    <w:p>
      <w:pPr>
        <w:pStyle w:val="ListBullet"/>
        <w:spacing w:after="60"/>
      </w:pPr>
      <w:r>
        <w:t>Questions: onboarding@company.com</w:t>
      </w:r>
    </w:p>
    <w:p>
      <w:pPr>
        <w:pStyle w:val="ListBullet"/>
        <w:spacing w:after="60"/>
      </w:pPr>
      <w:r>
        <w:t>Managers should confirm day-one access, orientation, and first-week goals before the start date.</w:t>
      </w:r>
    </w:p>
    <w:p>
      <w:pPr>
        <w:pStyle w:val="ListBullet"/>
        <w:spacing w:after="60"/>
      </w:pPr>
      <w:r>
        <w:t>Questions about missing paperwork or onboarding timing can be sent to onboarding@company.com.</w:t>
      </w:r>
    </w:p>
    <w:p>
      <w:pPr>
        <w:pStyle w:val="Heading1"/>
        <w:spacing w:before="180" w:after="60"/>
      </w:pPr>
      <w:r>
        <w:t>First 30-Day Expectations</w:t>
      </w:r>
    </w:p>
    <w:p>
      <w:pPr>
        <w:spacing w:after="120" w:line="269" w:lineRule="auto"/>
      </w:pPr>
      <w:r>
        <w:t>Managers should schedule regular check-ins during the first month, confirm that systems access is working, and make sure required training is assigned early rather than after the employee is already behind.</w:t>
      </w:r>
    </w:p>
    <w:p>
      <w:pPr>
        <w:spacing w:after="120" w:line="269" w:lineRule="auto"/>
      </w:pPr>
      <w:r>
        <w:t>New hires should complete required forms, read the published policies, and raise blockers quickly if missing documents or approvals could affect payroll, benefits, or access.</w:t>
      </w:r>
    </w:p>
    <w:p>
      <w:pPr>
        <w:pStyle w:val="Heading1"/>
        <w:spacing w:before="180" w:after="60"/>
      </w:pPr>
      <w:r>
        <w:t>Governance</w:t>
      </w:r>
    </w:p>
    <w:p>
      <w:pPr>
        <w:spacing w:after="120" w:line="269" w:lineRule="auto"/>
      </w:pPr>
      <w:r>
        <w:t>This document should be read together with AR-HR-033, AR-HR-035, AR-HR-039, AR-HR-049.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onboarding@company.com.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