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Working Hours and Availability Expectations</w:t>
      </w:r>
    </w:p>
    <w:p>
      <w:pPr>
        <w:spacing w:after="120" w:line="269" w:lineRule="auto"/>
      </w:pPr>
      <w:r>
        <w:t>AR-HR-038  |  Category: HR Operations  |  Country: Argentina  |  Version 3.0</w:t>
      </w:r>
    </w:p>
    <w:p>
      <w:pPr>
        <w:spacing w:after="120" w:line="269" w:lineRule="auto"/>
      </w:pPr>
      <w:r>
        <w:t>Policy owner: peopleteam@company.com  |  Related documents: AR-HR-016, AR-HR-022, AR-HR-027, AR-HR-036</w:t>
      </w:r>
    </w:p>
    <w:p>
      <w:pPr>
        <w:pStyle w:val="Heading1"/>
        <w:spacing w:before="180" w:after="60"/>
      </w:pPr>
      <w:r>
        <w:t>Policy Summary</w:t>
      </w:r>
    </w:p>
    <w:p>
      <w:pPr>
        <w:spacing w:after="120" w:line="269" w:lineRule="auto"/>
      </w:pPr>
      <w:r>
        <w:t>This document explains the company's approach to working hours and availability expectations.</w:t>
      </w:r>
    </w:p>
    <w:p>
      <w:pPr>
        <w:spacing w:after="120" w:line="269" w:lineRule="auto"/>
      </w:pPr>
      <w:r>
        <w:t>Questions about this document should be sent to peopleteam@company.com. When a matter spans more than one process, the receiving team may coordinate with the relevant function named in the related documents.</w:t>
      </w:r>
    </w:p>
    <w:p>
      <w:pPr>
        <w:spacing w:after="120" w:line="269" w:lineRule="auto"/>
      </w:pPr>
      <w:r>
        <w:t>This Argentina edition applies to employees hired on the Argentina payroll. Argentine labor law, collective bargaining obligations where applicable, and written employment terms control where they provide greater protection or require a different process.</w:t>
      </w:r>
    </w:p>
    <w:p>
      <w:pPr>
        <w:spacing w:after="120" w:line="269" w:lineRule="auto"/>
      </w:pPr>
      <w:r>
        <w:t>The standard Argentina office schedule is 40 hours per week unless the employment agreement states otherwise. Employees should generally be available during the shared collaboration window of 10:00 to 16:00 local time, and any extension beyond the approved schedule must be recorded according to local timekeeping rules.</w:t>
      </w:r>
    </w:p>
    <w:p>
      <w:pPr>
        <w:pStyle w:val="Heading2"/>
        <w:spacing w:before="140" w:after="40"/>
      </w:pPr>
      <w:r>
        <w:t>Quick Reference</w:t>
      </w:r>
    </w:p>
    <w:p>
      <w:pPr>
        <w:pStyle w:val="ListBullet"/>
        <w:spacing w:after="60"/>
      </w:pPr>
      <w:r>
        <w:t>Questions: peopleteam@company.com</w:t>
      </w:r>
    </w:p>
    <w:p>
      <w:pPr>
        <w:pStyle w:val="ListBullet"/>
        <w:spacing w:after="60"/>
      </w:pPr>
      <w:r>
        <w:t>Escalate sensitive matters on the same business day.</w:t>
      </w:r>
    </w:p>
    <w:p>
      <w:pPr>
        <w:pStyle w:val="ListBullet"/>
        <w:spacing w:after="60"/>
      </w:pPr>
      <w:r>
        <w:t>Document decisions that affect pay, access, leave, or employment status.</w:t>
      </w:r>
    </w:p>
    <w:p>
      <w:pPr>
        <w:pStyle w:val="Heading1"/>
        <w:spacing w:before="180" w:after="60"/>
      </w:pPr>
      <w:r>
        <w:t>Working Hours and Availability</w:t>
      </w:r>
    </w:p>
    <w:p>
      <w:pPr>
        <w:spacing w:after="120" w:line="269" w:lineRule="auto"/>
      </w:pPr>
      <w:r>
        <w:t>Breaks, meal periods, and rest requirements follow local law. Managers should not create a culture of implied constant availability outside scheduled hours.</w:t>
      </w:r>
    </w:p>
    <w:p>
      <w:pPr>
        <w:spacing w:after="120" w:line="269" w:lineRule="auto"/>
      </w:pPr>
      <w:r>
        <w:t>Globally distributed teams should rotate meeting inconvenience over time rather than always scheduling outside the same region's normal hours.</w:t>
      </w:r>
    </w:p>
    <w:p>
      <w:pPr>
        <w:pStyle w:val="Heading1"/>
        <w:spacing w:before="180" w:after="60"/>
      </w:pPr>
      <w:r>
        <w:t>Governance</w:t>
      </w:r>
    </w:p>
    <w:p>
      <w:pPr>
        <w:spacing w:after="120" w:line="269" w:lineRule="auto"/>
      </w:pPr>
      <w:r>
        <w:t>This document should be read together with AR-HR-016, AR-HR-022, AR-HR-027, AR-HR-036.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peopleteam@company.com.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Argentine labor law, a collective agreement, or a written employment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