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IT Access, Identity, and Acceptable Use Policy</w:t>
      </w:r>
    </w:p>
    <w:p>
      <w:pPr>
        <w:spacing w:after="120" w:line="269" w:lineRule="auto"/>
      </w:pPr>
      <w:r>
        <w:t>AR-HR-039  |  Category: HR Operations  |  Country: Argentina  |  Version 3.0</w:t>
      </w:r>
    </w:p>
    <w:p>
      <w:pPr>
        <w:spacing w:after="120" w:line="269" w:lineRule="auto"/>
      </w:pPr>
      <w:r>
        <w:t>Policy owner: itsupport@company.com  |  Related documents: AR-HR-034, AR-HR-036, AR-HR-040, AR-HR-047</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pStyle w:val="Heading1"/>
        <w:spacing w:before="180" w:after="60"/>
      </w:pPr>
      <w:r>
        <w:t>Policy Summary</w:t>
      </w:r>
    </w:p>
    <w:p>
      <w:pPr>
        <w:spacing w:after="120" w:line="269" w:lineRule="auto"/>
      </w:pPr>
      <w:r>
        <w:t>This policy sets out the company's rules, responsibilities, and approval requirements for it access, identity, and acceptable use.</w:t>
      </w:r>
    </w:p>
    <w:p>
      <w:pPr>
        <w:spacing w:after="120" w:line="269" w:lineRule="auto"/>
      </w:pPr>
      <w:r>
        <w:t>Questions about this document should be sent to itsupport@company.com.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Access is granted on a least-privilege basis according to role. New-hire, transfer, and exit changes must be requested through approved workflows; shared passwords and informal access swaps are prohibited.</w:t>
      </w:r>
    </w:p>
    <w:p>
      <w:pPr>
        <w:pStyle w:val="Heading2"/>
        <w:spacing w:before="140" w:after="40"/>
      </w:pPr>
      <w:r>
        <w:t>Quick Reference</w:t>
      </w:r>
    </w:p>
    <w:p>
      <w:pPr>
        <w:pStyle w:val="ListBullet"/>
        <w:spacing w:after="60"/>
      </w:pPr>
      <w:r>
        <w:t>Questions: itsupport@company.com</w:t>
      </w:r>
    </w:p>
    <w:p>
      <w:pPr>
        <w:pStyle w:val="ListBullet"/>
        <w:spacing w:after="60"/>
      </w:pPr>
      <w:r>
        <w:t>Escalate sensitive matters on the same business day.</w:t>
      </w:r>
    </w:p>
    <w:p>
      <w:pPr>
        <w:pStyle w:val="ListBullet"/>
        <w:spacing w:after="60"/>
      </w:pPr>
      <w:r>
        <w:t>Document decisions that affect pay, access, leave, or employment status.</w:t>
      </w:r>
    </w:p>
    <w:p>
      <w:pPr>
        <w:pStyle w:val="Heading1"/>
        <w:spacing w:before="180" w:after="60"/>
      </w:pPr>
      <w:r>
        <w:t>IT Access, Identity, and Acceptable Use</w:t>
      </w:r>
    </w:p>
    <w:p>
      <w:pPr>
        <w:spacing w:after="120" w:line="269" w:lineRule="auto"/>
      </w:pPr>
      <w:r>
        <w:t>Company devices and accounts are for legitimate business use with limited incidental personal use that does not create security, legal, or performance risk.</w:t>
      </w:r>
    </w:p>
    <w:p>
      <w:pPr>
        <w:spacing w:after="120" w:line="269" w:lineRule="auto"/>
      </w:pPr>
      <w:r>
        <w:t>Example: A departing employee should lose system access on or before the separation effective date, even if they still need a personal copy of payslips through the employee portal.</w:t>
      </w:r>
    </w:p>
    <w:p>
      <w:pPr>
        <w:pStyle w:val="Heading1"/>
        <w:spacing w:before="180" w:after="60"/>
      </w:pPr>
      <w:r>
        <w:t>Governance</w:t>
      </w:r>
    </w:p>
    <w:p>
      <w:pPr>
        <w:spacing w:after="120" w:line="269" w:lineRule="auto"/>
      </w:pPr>
      <w:r>
        <w:t>This document should be read together with AR-HR-034, AR-HR-036, AR-HR-040, AR-HR-047.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itsupport@company.com.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