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Employee Records Management Policy</w:t>
      </w:r>
    </w:p>
    <w:p>
      <w:pPr>
        <w:spacing w:after="120" w:line="269" w:lineRule="auto"/>
      </w:pPr>
      <w:r>
        <w:t>AR-HR-041  |  Category: HR Operations  |  Country: Argentina  |  Version 3.0</w:t>
      </w:r>
    </w:p>
    <w:p>
      <w:pPr>
        <w:spacing w:after="120" w:line="269" w:lineRule="auto"/>
      </w:pPr>
      <w:r>
        <w:t>Policy owner: peopleteam@company.com  |  Related documents: AR-HR-010, AR-HR-030, AR-HR-039, AR-HR-047</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employee records management.</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 records must be accurate, access-controlled, and retained according to the retention schedule. HR, payroll, and managers should keep official records in approved systems rather than personal folders or chat threads.</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Employee Records Management</w:t>
      </w:r>
    </w:p>
    <w:p>
      <w:pPr>
        <w:spacing w:after="120" w:line="269" w:lineRule="auto"/>
      </w:pPr>
      <w:r>
        <w:t>Employees may request correction of personal information such as address, legal name, emergency contact, or bank details through the HRIS or by writing to peopleteam@company.com with the required verification.</w:t>
      </w:r>
    </w:p>
    <w:p>
      <w:pPr>
        <w:spacing w:after="120" w:line="269" w:lineRule="auto"/>
      </w:pPr>
      <w:r>
        <w:t>Example: Interview notes for an unsuccessful candidate should not be stored indefinitely in a manager's local drive.</w:t>
      </w:r>
    </w:p>
    <w:p>
      <w:pPr>
        <w:pStyle w:val="Heading1"/>
        <w:spacing w:before="180" w:after="60"/>
      </w:pPr>
      <w:r>
        <w:t>Governance</w:t>
      </w:r>
    </w:p>
    <w:p>
      <w:pPr>
        <w:spacing w:after="120" w:line="269" w:lineRule="auto"/>
      </w:pPr>
      <w:r>
        <w:t>This document should be read together with AR-HR-010, AR-HR-030, AR-HR-039, AR-HR-047.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