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Internal Mobility and Role Change Procedure</w:t>
      </w:r>
    </w:p>
    <w:p>
      <w:pPr>
        <w:spacing w:after="120" w:line="269" w:lineRule="auto"/>
      </w:pPr>
      <w:r>
        <w:t>AR-HR-044  |  Category: HR Operations  |  Country: Argentina  |  Version 3.0</w:t>
      </w:r>
    </w:p>
    <w:p>
      <w:pPr>
        <w:spacing w:after="120" w:line="269" w:lineRule="auto"/>
      </w:pPr>
      <w:r>
        <w:t>Policy owner: talentdevelopment@company.com  |  Related documents: AR-HR-028, AR-HR-034, AR-HR-035, AR-HR-045</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internal mobility and role change.</w:t>
      </w:r>
    </w:p>
    <w:p>
      <w:pPr>
        <w:spacing w:after="120" w:line="269" w:lineRule="auto"/>
      </w:pPr>
      <w:r>
        <w:t>Questions about this document should be sent to talentdevelopment@company.com.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generally become eligible to apply for internal roles after 12 months in role unless a business exception is approved. Managers should support reasonable internal mobility while maintaining continuity through notice and handover planning.</w:t>
      </w:r>
    </w:p>
    <w:p>
      <w:pPr>
        <w:pStyle w:val="Heading2"/>
        <w:spacing w:before="140" w:after="40"/>
      </w:pPr>
      <w:r>
        <w:t>Quick Reference</w:t>
      </w:r>
    </w:p>
    <w:p>
      <w:pPr>
        <w:pStyle w:val="ListBullet"/>
        <w:spacing w:after="60"/>
      </w:pPr>
      <w:r>
        <w:t>Questions: talentdevelopment@company.com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Internal Mobility and Role Change</w:t>
      </w:r>
    </w:p>
    <w:p>
      <w:pPr>
        <w:spacing w:after="120" w:line="269" w:lineRule="auto"/>
      </w:pPr>
      <w:r>
        <w:t>Compensation, level, reporting line, and effective date must be documented before the transfer is communicated broadly.</w:t>
      </w:r>
    </w:p>
    <w:p>
      <w:pPr>
        <w:spacing w:after="120" w:line="269" w:lineRule="auto"/>
      </w:pPr>
      <w:r>
        <w:t>Example: A move from support to project management may include a new probation-like ramp plan even if the employee remains with the company.</w:t>
      </w:r>
    </w:p>
    <w:p>
      <w:pPr>
        <w:pStyle w:val="Heading1"/>
        <w:spacing w:before="180" w:after="60"/>
      </w:pPr>
      <w:r>
        <w:t>Governance</w:t>
      </w:r>
    </w:p>
    <w:p>
      <w:pPr>
        <w:spacing w:after="120" w:line="269" w:lineRule="auto"/>
      </w:pPr>
      <w:r>
        <w:t>This document should be read together with AR-HR-028, AR-HR-034, AR-HR-035, AR-HR-045.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talentdevelopment@company.com.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