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Learning and Development Support Policy</w:t>
      </w:r>
    </w:p>
    <w:p>
      <w:pPr>
        <w:spacing w:after="120" w:line="269" w:lineRule="auto"/>
      </w:pPr>
      <w:r>
        <w:t>AR-HR-045  |  Category: HR Operations  |  Country: Argentina  |  Version 3.0</w:t>
      </w:r>
    </w:p>
    <w:p>
      <w:pPr>
        <w:spacing w:after="120" w:line="269" w:lineRule="auto"/>
      </w:pPr>
      <w:r>
        <w:t>Policy owner: talentdevelopment@company.com  |  Related documents: AR-HR-009, AR-HR-014, AR-HR-044, AR-HR-046</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learning and development support.</w:t>
      </w:r>
    </w:p>
    <w:p>
      <w:pPr>
        <w:spacing w:after="120" w:line="269" w:lineRule="auto"/>
      </w:pPr>
      <w:r>
        <w:t>Questions about this document should be sent to talentdevelopment@company.com.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The company supports job-relevant learning through manager-approved courses, compliance training, and selected certifications. Reimbursement requires pre-approval and evidence of completion unless the program is centrally assigned.</w:t>
      </w:r>
    </w:p>
    <w:p>
      <w:pPr>
        <w:pStyle w:val="Heading2"/>
        <w:spacing w:before="140" w:after="40"/>
      </w:pPr>
      <w:r>
        <w:t>Quick Reference</w:t>
      </w:r>
    </w:p>
    <w:p>
      <w:pPr>
        <w:pStyle w:val="ListBullet"/>
        <w:spacing w:after="60"/>
      </w:pPr>
      <w:r>
        <w:t>Questions: talentdevelopment@company.com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Learning and Development Support</w:t>
      </w:r>
    </w:p>
    <w:p>
      <w:pPr>
        <w:spacing w:after="120" w:line="269" w:lineRule="auto"/>
      </w:pPr>
      <w:r>
        <w:t>Learning access should be equitable across similar roles and not reserved only for employees who self-promote the most.</w:t>
      </w:r>
    </w:p>
    <w:p>
      <w:pPr>
        <w:spacing w:after="120" w:line="269" w:lineRule="auto"/>
      </w:pPr>
      <w:r>
        <w:t>Example: A course in spreadsheet automation for a finance analyst is likely reimbursable; a hobby course unrelated to role skills usually is not.</w:t>
      </w:r>
    </w:p>
    <w:p>
      <w:pPr>
        <w:pStyle w:val="Heading1"/>
        <w:spacing w:before="180" w:after="60"/>
      </w:pPr>
      <w:r>
        <w:t>Governance</w:t>
      </w:r>
    </w:p>
    <w:p>
      <w:pPr>
        <w:spacing w:after="120" w:line="269" w:lineRule="auto"/>
      </w:pPr>
      <w:r>
        <w:t>This document should be read together with AR-HR-009, AR-HR-014, AR-HR-044, AR-HR-046.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talentdevelopment@company.com.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