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Policy Exception, Approval, and Governance Framework</w:t>
      </w:r>
    </w:p>
    <w:p>
      <w:pPr>
        <w:spacing w:after="120" w:line="269" w:lineRule="auto"/>
      </w:pPr>
      <w:r>
        <w:t>AR-HR-050  |  Category: Compliance  |  Country: Argentina  |  Version 3.0</w:t>
      </w:r>
    </w:p>
    <w:p>
      <w:pPr>
        <w:spacing w:after="120" w:line="269" w:lineRule="auto"/>
      </w:pPr>
      <w:r>
        <w:t>Policy owner: compliance@company.com  |  Related documents: AR-HR-004, AR-HR-006, AR-HR-026, AR-HR-049</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framework explains how exceptions, approvals, governance, and recordkeeping should be handled for policy exception, approval, and governance.</w:t>
      </w:r>
    </w:p>
    <w:p>
      <w:pPr>
        <w:spacing w:after="120" w:line="269" w:lineRule="auto"/>
      </w:pPr>
      <w:r>
        <w:t>Questions about this document should be sent to compliance@company.com.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Exceptions are allowed only when there is a documented business need, legal requirement, hardship, or company-caused administrative issue. Convenience or manager preference alone is not sufficient.</w:t>
      </w:r>
    </w:p>
    <w:p>
      <w:pPr>
        <w:pStyle w:val="Heading2"/>
        <w:spacing w:before="140" w:after="40"/>
      </w:pPr>
      <w:r>
        <w:t>Quick Reference</w:t>
      </w:r>
    </w:p>
    <w:p>
      <w:pPr>
        <w:pStyle w:val="ListBullet"/>
        <w:spacing w:after="60"/>
      </w:pPr>
      <w:r>
        <w:t>Questions: compliance@company.com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Policy Exception, Approval, and Governance</w:t>
      </w:r>
    </w:p>
    <w:p>
      <w:pPr>
        <w:spacing w:after="120" w:line="269" w:lineRule="auto"/>
      </w:pPr>
      <w:r>
        <w:t>The approving authority depends on the policy affected. Exceptions involving pay, leave, benefits, data privacy, ethics, or discrimination should include HR and the appropriate specialist owner. Temporary exceptions should include an expiry date and review point.</w:t>
      </w:r>
    </w:p>
    <w:p>
      <w:pPr>
        <w:spacing w:after="120" w:line="269" w:lineRule="auto"/>
      </w:pPr>
      <w:r>
        <w:t>Example: Benefits may approve a late life-event enrollment if the employee can prove the portal was unavailable during the reporting window.</w:t>
      </w:r>
    </w:p>
    <w:p>
      <w:pPr>
        <w:pStyle w:val="Heading1"/>
        <w:spacing w:before="180" w:after="60"/>
      </w:pPr>
      <w:r>
        <w:t>Governance</w:t>
      </w:r>
    </w:p>
    <w:p>
      <w:pPr>
        <w:spacing w:after="120" w:line="269" w:lineRule="auto"/>
      </w:pPr>
      <w:r>
        <w:t>This document should be read together with AR-HR-004, AR-HR-006, AR-HR-026, AR-HR-049.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compliance@company.com.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