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Career Architecture - Data Scientist</w:t>
      </w:r>
    </w:p>
    <w:p>
      <w:pPr>
        <w:pStyle w:val="DocSubtitle"/>
      </w:pPr>
      <w:r>
        <w:t>Argentina | Job family: Data Science | Document owner: Talent Development</w:t>
      </w:r>
    </w:p>
    <w:tbl>
      <w:tblPr>
        <w:tblW w:type="auto" w:w="0"/>
        <w:jc w:val="center"/>
        <w:tblLayout w:type="fixed"/>
        <w:tblLook w:firstColumn="1" w:firstRow="1" w:lastColumn="0" w:lastRow="0" w:noHBand="0" w:noVBand="1" w:val="04A0"/>
      </w:tblPr>
      <w:tblGrid>
        <w:gridCol w:w="3360"/>
        <w:gridCol w:w="3360"/>
        <w:gridCol w:w="3360"/>
      </w:tblGrid>
      <w:tr>
        <w:tc>
          <w:tcPr>
            <w:tcW w:type="dxa" w:w="3024"/>
            <w:tcMar>
              <w:top w:w="80" w:type="dxa"/>
              <w:start w:w="100" w:type="dxa"/>
              <w:bottom w:w="80" w:type="dxa"/>
              <w:end w:w="100" w:type="dxa"/>
            </w:tcMar>
            <w:vAlign w:val="center"/>
            <w:shd w:fill="D9E2F3"/>
          </w:tcPr>
          <w:p>
            <w:pPr>
              <w:jc w:val="center"/>
            </w:pPr>
            <w:r>
              <w:rPr>
                <w:b/>
                <w:color w:val="243F74"/>
                <w:sz w:val="19"/>
              </w:rPr>
              <w:t>Applies to</w:t>
            </w:r>
          </w:p>
        </w:tc>
        <w:tc>
          <w:tcPr>
            <w:tcW w:type="dxa" w:w="3024"/>
            <w:tcMar>
              <w:top w:w="80" w:type="dxa"/>
              <w:start w:w="100" w:type="dxa"/>
              <w:bottom w:w="80" w:type="dxa"/>
              <w:end w:w="100" w:type="dxa"/>
            </w:tcMar>
            <w:vAlign w:val="center"/>
            <w:shd w:fill="D9E2F3"/>
          </w:tcPr>
          <w:p>
            <w:pPr>
              <w:jc w:val="center"/>
            </w:pPr>
            <w:r>
              <w:rPr>
                <w:b/>
                <w:color w:val="243F74"/>
                <w:sz w:val="19"/>
              </w:rPr>
              <w:t>Progression model</w:t>
            </w:r>
          </w:p>
        </w:tc>
        <w:tc>
          <w:tcPr>
            <w:tcW w:type="dxa" w:w="3024"/>
            <w:tcMar>
              <w:top w:w="80" w:type="dxa"/>
              <w:start w:w="100" w:type="dxa"/>
              <w:bottom w:w="80" w:type="dxa"/>
              <w:end w:w="100" w:type="dxa"/>
            </w:tcMar>
            <w:vAlign w:val="center"/>
            <w:shd w:fill="D9E2F3"/>
          </w:tcPr>
          <w:p>
            <w:pPr>
              <w:jc w:val="center"/>
            </w:pPr>
            <w:r>
              <w:rPr>
                <w:b/>
                <w:color w:val="243F74"/>
                <w:sz w:val="19"/>
              </w:rPr>
              <w:t>Review cadence</w:t>
            </w:r>
          </w:p>
        </w:tc>
      </w:tr>
      <w:tr>
        <w:tc>
          <w:tcPr>
            <w:tcW w:type="dxa" w:w="3024"/>
            <w:tcMar>
              <w:top w:w="80" w:type="dxa"/>
              <w:start w:w="100" w:type="dxa"/>
              <w:bottom w:w="80" w:type="dxa"/>
              <w:end w:w="100" w:type="dxa"/>
            </w:tcMar>
            <w:vAlign w:val="center"/>
          </w:tcPr>
          <w:p>
            <w:pPr>
              <w:jc w:val="center"/>
            </w:pPr>
            <w:r>
              <w:rPr>
                <w:sz w:val="18"/>
              </w:rPr>
              <w:t>Employees aligned to this job family in the named country</w:t>
            </w:r>
          </w:p>
        </w:tc>
        <w:tc>
          <w:tcPr>
            <w:tcW w:type="dxa" w:w="3024"/>
            <w:tcMar>
              <w:top w:w="80" w:type="dxa"/>
              <w:start w:w="100" w:type="dxa"/>
              <w:bottom w:w="80" w:type="dxa"/>
              <w:end w:w="100" w:type="dxa"/>
            </w:tcMar>
            <w:vAlign w:val="center"/>
          </w:tcPr>
          <w:p>
            <w:pPr>
              <w:jc w:val="center"/>
            </w:pPr>
            <w:r>
              <w:rPr>
                <w:sz w:val="18"/>
              </w:rPr>
              <w:t>Level placement based on sustained scope and evidence</w:t>
            </w:r>
          </w:p>
        </w:tc>
        <w:tc>
          <w:tcPr>
            <w:tcW w:type="dxa" w:w="3024"/>
            <w:tcMar>
              <w:top w:w="80" w:type="dxa"/>
              <w:start w:w="100" w:type="dxa"/>
              <w:bottom w:w="80" w:type="dxa"/>
              <w:end w:w="100" w:type="dxa"/>
            </w:tcMar>
            <w:vAlign w:val="center"/>
          </w:tcPr>
          <w:p>
            <w:pPr>
              <w:jc w:val="center"/>
            </w:pPr>
            <w:r>
              <w:rPr>
                <w:sz w:val="18"/>
              </w:rPr>
              <w:t>Annual review, or earlier when roles materially change</w:t>
            </w:r>
          </w:p>
        </w:tc>
      </w:tr>
    </w:tbl>
    <w:p>
      <w:pPr>
        <w:pStyle w:val="Compact"/>
      </w:pPr>
    </w:p>
    <w:p>
      <w:pPr>
        <w:pStyle w:val="Compact"/>
      </w:pPr>
      <w:r>
        <w:rPr>
          <w:b/>
        </w:rPr>
        <w:t xml:space="preserve">Purpose. </w:t>
      </w:r>
      <w:r>
        <w:t>This document defines the progression expectations for the Data Scientist job family. It covers exploratory analysis, experimentation, model development, deployment readiness, and the increasing need to connect scientific work to measurable business outcomes.</w:t>
      </w:r>
    </w:p>
    <w:p>
      <w:pPr>
        <w:pStyle w:val="Compact"/>
      </w:pPr>
      <w:r>
        <w:rPr>
          <w:b/>
        </w:rPr>
        <w:t xml:space="preserve">Country context. </w:t>
      </w:r>
      <w:r>
        <w:t>Teams in Argentina often work in distributed delivery environments where ownership, prioritization, and proactive stakeholder management are highly visible. Advancement is strengthened by strong written communication, consistency under changing priorities, and careful operational follow-through.</w:t>
      </w:r>
    </w:p>
    <w:p>
      <w:pPr>
        <w:pStyle w:val="Compact"/>
      </w:pPr>
      <w:r>
        <w:rPr>
          <w:b/>
        </w:rPr>
        <w:t xml:space="preserve">How this document is used. </w:t>
      </w:r>
      <w:r>
        <w:t>This architecture supports hiring alignment, performance calibration, promotion discussions, development planning, and internal mobility. It does not create an automatic promotion path based on time in role; advancement requires sustained evidence that the next-level expectations are already being met in practice.</w:t>
      </w:r>
    </w:p>
    <w:p>
      <w:pPr>
        <w:pStyle w:val="SectionHeading"/>
      </w:pPr>
      <w:r>
        <w:t>Level framework</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80"/>
            <w:shd w:fill="D9E2F3"/>
            <w:tcMar>
              <w:top w:w="80" w:type="dxa"/>
              <w:start w:w="100" w:type="dxa"/>
              <w:bottom w:w="80" w:type="dxa"/>
              <w:end w:w="100" w:type="dxa"/>
            </w:tcMar>
            <w:vAlign w:val="center"/>
          </w:tcPr>
          <w:p>
            <w:pPr>
              <w:jc w:val="center"/>
            </w:pPr>
            <w:r>
              <w:rPr>
                <w:b/>
                <w:color w:val="243F74"/>
                <w:sz w:val="18"/>
              </w:rPr>
              <w:t>Level</w:t>
            </w:r>
          </w:p>
        </w:tc>
        <w:tc>
          <w:tcPr>
            <w:tcW w:type="dxa" w:w="2376"/>
            <w:shd w:fill="D9E2F3"/>
            <w:tcMar>
              <w:top w:w="80" w:type="dxa"/>
              <w:start w:w="100" w:type="dxa"/>
              <w:bottom w:w="80" w:type="dxa"/>
              <w:end w:w="100" w:type="dxa"/>
            </w:tcMar>
            <w:vAlign w:val="center"/>
          </w:tcPr>
          <w:p>
            <w:pPr>
              <w:jc w:val="center"/>
            </w:pPr>
            <w:r>
              <w:rPr>
                <w:b/>
                <w:color w:val="243F74"/>
                <w:sz w:val="18"/>
              </w:rPr>
              <w:t>Typical title</w:t>
            </w:r>
          </w:p>
        </w:tc>
        <w:tc>
          <w:tcPr>
            <w:tcW w:type="dxa" w:w="3528"/>
            <w:shd w:fill="D9E2F3"/>
            <w:tcMar>
              <w:top w:w="80" w:type="dxa"/>
              <w:start w:w="100" w:type="dxa"/>
              <w:bottom w:w="80" w:type="dxa"/>
              <w:end w:w="100" w:type="dxa"/>
            </w:tcMar>
            <w:vAlign w:val="center"/>
          </w:tcPr>
          <w:p>
            <w:pPr>
              <w:jc w:val="center"/>
            </w:pPr>
            <w:r>
              <w:rPr>
                <w:b/>
                <w:color w:val="243F74"/>
                <w:sz w:val="18"/>
              </w:rPr>
              <w:t>Primary scope</w:t>
            </w:r>
          </w:p>
        </w:tc>
        <w:tc>
          <w:tcPr>
            <w:tcW w:type="dxa" w:w="2880"/>
            <w:shd w:fill="D9E2F3"/>
            <w:tcMar>
              <w:top w:w="80" w:type="dxa"/>
              <w:start w:w="100" w:type="dxa"/>
              <w:bottom w:w="80" w:type="dxa"/>
              <w:end w:w="100" w:type="dxa"/>
            </w:tcMar>
            <w:vAlign w:val="center"/>
          </w:tcPr>
          <w:p>
            <w:pPr>
              <w:jc w:val="center"/>
            </w:pPr>
            <w:r>
              <w:rPr>
                <w:b/>
                <w:color w:val="243F74"/>
                <w:sz w:val="18"/>
              </w:rPr>
              <w:t>Decision latitude</w:t>
            </w:r>
          </w:p>
        </w:tc>
      </w:tr>
      <w:tr>
        <w:tc>
          <w:tcPr>
            <w:tcW w:type="dxa" w:w="1080"/>
            <w:tcMar>
              <w:top w:w="90" w:type="dxa"/>
              <w:start w:w="100" w:type="dxa"/>
              <w:bottom w:w="90" w:type="dxa"/>
              <w:end w:w="100" w:type="dxa"/>
            </w:tcMar>
            <w:vAlign w:val="center"/>
          </w:tcPr>
          <w:p>
            <w:pPr>
              <w:jc w:val="center"/>
            </w:pPr>
            <w:r>
              <w:rPr>
                <w:sz w:val="18"/>
              </w:rPr>
              <w:t>DS1</w:t>
            </w:r>
          </w:p>
        </w:tc>
        <w:tc>
          <w:tcPr>
            <w:tcW w:type="dxa" w:w="2376"/>
            <w:tcMar>
              <w:top w:w="90" w:type="dxa"/>
              <w:start w:w="100" w:type="dxa"/>
              <w:bottom w:w="90" w:type="dxa"/>
              <w:end w:w="100" w:type="dxa"/>
            </w:tcMar>
            <w:vAlign w:val="center"/>
          </w:tcPr>
          <w:p>
            <w:pPr>
              <w:jc w:val="left"/>
            </w:pPr>
            <w:r>
              <w:rPr>
                <w:sz w:val="18"/>
              </w:rPr>
              <w:t>Data Scientist I</w:t>
            </w:r>
          </w:p>
        </w:tc>
        <w:tc>
          <w:tcPr>
            <w:tcW w:type="dxa" w:w="3528"/>
            <w:tcMar>
              <w:top w:w="90" w:type="dxa"/>
              <w:start w:w="100" w:type="dxa"/>
              <w:bottom w:w="90" w:type="dxa"/>
              <w:end w:w="100" w:type="dxa"/>
            </w:tcMar>
            <w:vAlign w:val="center"/>
          </w:tcPr>
          <w:p>
            <w:pPr>
              <w:jc w:val="left"/>
            </w:pPr>
            <w:r>
              <w:rPr>
                <w:sz w:val="18"/>
              </w:rPr>
              <w:t>Builds exploratory analyses and simple models with defined support.</w:t>
            </w:r>
          </w:p>
        </w:tc>
        <w:tc>
          <w:tcPr>
            <w:tcW w:type="dxa" w:w="2880"/>
            <w:tcMar>
              <w:top w:w="90" w:type="dxa"/>
              <w:start w:w="100" w:type="dxa"/>
              <w:bottom w:w="90" w:type="dxa"/>
              <w:end w:w="100" w:type="dxa"/>
            </w:tcMar>
            <w:vAlign w:val="center"/>
          </w:tcPr>
          <w:p>
            <w:pPr>
              <w:jc w:val="left"/>
            </w:pPr>
            <w:r>
              <w:rPr>
                <w:sz w:val="18"/>
              </w:rPr>
              <w:t>Executes reproducible experiments and documents assumptions clearly.</w:t>
            </w:r>
          </w:p>
        </w:tc>
      </w:tr>
      <w:tr>
        <w:tc>
          <w:tcPr>
            <w:tcW w:type="dxa" w:w="1080"/>
            <w:tcMar>
              <w:top w:w="90" w:type="dxa"/>
              <w:start w:w="100" w:type="dxa"/>
              <w:bottom w:w="90" w:type="dxa"/>
              <w:end w:w="100" w:type="dxa"/>
            </w:tcMar>
            <w:vAlign w:val="center"/>
          </w:tcPr>
          <w:p>
            <w:pPr>
              <w:jc w:val="center"/>
            </w:pPr>
            <w:r>
              <w:rPr>
                <w:sz w:val="18"/>
              </w:rPr>
              <w:t>DS2</w:t>
            </w:r>
          </w:p>
        </w:tc>
        <w:tc>
          <w:tcPr>
            <w:tcW w:type="dxa" w:w="2376"/>
            <w:tcMar>
              <w:top w:w="90" w:type="dxa"/>
              <w:start w:w="100" w:type="dxa"/>
              <w:bottom w:w="90" w:type="dxa"/>
              <w:end w:w="100" w:type="dxa"/>
            </w:tcMar>
            <w:vAlign w:val="center"/>
          </w:tcPr>
          <w:p>
            <w:pPr>
              <w:jc w:val="left"/>
            </w:pPr>
            <w:r>
              <w:rPr>
                <w:sz w:val="18"/>
              </w:rPr>
              <w:t>Data Scientist II</w:t>
            </w:r>
          </w:p>
        </w:tc>
        <w:tc>
          <w:tcPr>
            <w:tcW w:type="dxa" w:w="3528"/>
            <w:tcMar>
              <w:top w:w="90" w:type="dxa"/>
              <w:start w:w="100" w:type="dxa"/>
              <w:bottom w:w="90" w:type="dxa"/>
              <w:end w:w="100" w:type="dxa"/>
            </w:tcMar>
            <w:vAlign w:val="center"/>
          </w:tcPr>
          <w:p>
            <w:pPr>
              <w:jc w:val="left"/>
            </w:pPr>
            <w:r>
              <w:rPr>
                <w:sz w:val="18"/>
              </w:rPr>
              <w:t>Owns model features, experiment design, and impact measurement for a team.</w:t>
            </w:r>
          </w:p>
        </w:tc>
        <w:tc>
          <w:tcPr>
            <w:tcW w:type="dxa" w:w="2880"/>
            <w:tcMar>
              <w:top w:w="90" w:type="dxa"/>
              <w:start w:w="100" w:type="dxa"/>
              <w:bottom w:w="90" w:type="dxa"/>
              <w:end w:w="100" w:type="dxa"/>
            </w:tcMar>
            <w:vAlign w:val="center"/>
          </w:tcPr>
          <w:p>
            <w:pPr>
              <w:jc w:val="left"/>
            </w:pPr>
            <w:r>
              <w:rPr>
                <w:sz w:val="18"/>
              </w:rPr>
              <w:t>Connects statistical methods to business decisions and operational outcomes.</w:t>
            </w:r>
          </w:p>
        </w:tc>
      </w:tr>
      <w:tr>
        <w:tc>
          <w:tcPr>
            <w:tcW w:type="dxa" w:w="1080"/>
            <w:tcMar>
              <w:top w:w="90" w:type="dxa"/>
              <w:start w:w="100" w:type="dxa"/>
              <w:bottom w:w="90" w:type="dxa"/>
              <w:end w:w="100" w:type="dxa"/>
            </w:tcMar>
            <w:vAlign w:val="center"/>
          </w:tcPr>
          <w:p>
            <w:pPr>
              <w:jc w:val="center"/>
            </w:pPr>
            <w:r>
              <w:rPr>
                <w:sz w:val="18"/>
              </w:rPr>
              <w:t>DS3</w:t>
            </w:r>
          </w:p>
        </w:tc>
        <w:tc>
          <w:tcPr>
            <w:tcW w:type="dxa" w:w="2376"/>
            <w:tcMar>
              <w:top w:w="90" w:type="dxa"/>
              <w:start w:w="100" w:type="dxa"/>
              <w:bottom w:w="90" w:type="dxa"/>
              <w:end w:w="100" w:type="dxa"/>
            </w:tcMar>
            <w:vAlign w:val="center"/>
          </w:tcPr>
          <w:p>
            <w:pPr>
              <w:jc w:val="left"/>
            </w:pPr>
            <w:r>
              <w:rPr>
                <w:sz w:val="18"/>
              </w:rPr>
              <w:t>Senior Data Scientist</w:t>
            </w:r>
          </w:p>
        </w:tc>
        <w:tc>
          <w:tcPr>
            <w:tcW w:type="dxa" w:w="3528"/>
            <w:tcMar>
              <w:top w:w="90" w:type="dxa"/>
              <w:start w:w="100" w:type="dxa"/>
              <w:bottom w:w="90" w:type="dxa"/>
              <w:end w:w="100" w:type="dxa"/>
            </w:tcMar>
            <w:vAlign w:val="center"/>
          </w:tcPr>
          <w:p>
            <w:pPr>
              <w:jc w:val="left"/>
            </w:pPr>
            <w:r>
              <w:rPr>
                <w:sz w:val="18"/>
              </w:rPr>
              <w:t>Leads end-to-end modeling programs and production impact reviews.</w:t>
            </w:r>
          </w:p>
        </w:tc>
        <w:tc>
          <w:tcPr>
            <w:tcW w:type="dxa" w:w="2880"/>
            <w:tcMar>
              <w:top w:w="90" w:type="dxa"/>
              <w:start w:w="100" w:type="dxa"/>
              <w:bottom w:w="90" w:type="dxa"/>
              <w:end w:w="100" w:type="dxa"/>
            </w:tcMar>
            <w:vAlign w:val="center"/>
          </w:tcPr>
          <w:p>
            <w:pPr>
              <w:jc w:val="left"/>
            </w:pPr>
            <w:r>
              <w:rPr>
                <w:sz w:val="18"/>
              </w:rPr>
              <w:t>Chooses methods, drives model governance, and coaches peers on rigor.</w:t>
            </w:r>
          </w:p>
        </w:tc>
      </w:tr>
      <w:tr>
        <w:tc>
          <w:tcPr>
            <w:tcW w:type="dxa" w:w="1080"/>
            <w:tcMar>
              <w:top w:w="90" w:type="dxa"/>
              <w:start w:w="100" w:type="dxa"/>
              <w:bottom w:w="90" w:type="dxa"/>
              <w:end w:w="100" w:type="dxa"/>
            </w:tcMar>
            <w:vAlign w:val="center"/>
          </w:tcPr>
          <w:p>
            <w:pPr>
              <w:jc w:val="center"/>
            </w:pPr>
            <w:r>
              <w:rPr>
                <w:sz w:val="18"/>
              </w:rPr>
              <w:t>DS4</w:t>
            </w:r>
          </w:p>
        </w:tc>
        <w:tc>
          <w:tcPr>
            <w:tcW w:type="dxa" w:w="2376"/>
            <w:tcMar>
              <w:top w:w="90" w:type="dxa"/>
              <w:start w:w="100" w:type="dxa"/>
              <w:bottom w:w="90" w:type="dxa"/>
              <w:end w:w="100" w:type="dxa"/>
            </w:tcMar>
            <w:vAlign w:val="center"/>
          </w:tcPr>
          <w:p>
            <w:pPr>
              <w:jc w:val="left"/>
            </w:pPr>
            <w:r>
              <w:rPr>
                <w:sz w:val="18"/>
              </w:rPr>
              <w:t>Lead Data Scientist</w:t>
            </w:r>
          </w:p>
        </w:tc>
        <w:tc>
          <w:tcPr>
            <w:tcW w:type="dxa" w:w="3528"/>
            <w:tcMar>
              <w:top w:w="90" w:type="dxa"/>
              <w:start w:w="100" w:type="dxa"/>
              <w:bottom w:w="90" w:type="dxa"/>
              <w:end w:w="100" w:type="dxa"/>
            </w:tcMar>
            <w:vAlign w:val="center"/>
          </w:tcPr>
          <w:p>
            <w:pPr>
              <w:jc w:val="left"/>
            </w:pPr>
            <w:r>
              <w:rPr>
                <w:sz w:val="18"/>
              </w:rPr>
              <w:t>Sets applied science direction across related products or business domains.</w:t>
            </w:r>
          </w:p>
        </w:tc>
        <w:tc>
          <w:tcPr>
            <w:tcW w:type="dxa" w:w="2880"/>
            <w:tcMar>
              <w:top w:w="90" w:type="dxa"/>
              <w:start w:w="100" w:type="dxa"/>
              <w:bottom w:w="90" w:type="dxa"/>
              <w:end w:w="100" w:type="dxa"/>
            </w:tcMar>
            <w:vAlign w:val="center"/>
          </w:tcPr>
          <w:p>
            <w:pPr>
              <w:jc w:val="left"/>
            </w:pPr>
            <w:r>
              <w:rPr>
                <w:sz w:val="18"/>
              </w:rPr>
              <w:t>Balances experimentation, interpretability, and deployment constraints.</w:t>
            </w:r>
          </w:p>
        </w:tc>
      </w:tr>
      <w:tr>
        <w:tc>
          <w:tcPr>
            <w:tcW w:type="dxa" w:w="1080"/>
            <w:tcMar>
              <w:top w:w="90" w:type="dxa"/>
              <w:start w:w="100" w:type="dxa"/>
              <w:bottom w:w="90" w:type="dxa"/>
              <w:end w:w="100" w:type="dxa"/>
            </w:tcMar>
            <w:vAlign w:val="center"/>
          </w:tcPr>
          <w:p>
            <w:pPr>
              <w:jc w:val="center"/>
            </w:pPr>
            <w:r>
              <w:rPr>
                <w:sz w:val="18"/>
              </w:rPr>
              <w:t>DS5</w:t>
            </w:r>
          </w:p>
        </w:tc>
        <w:tc>
          <w:tcPr>
            <w:tcW w:type="dxa" w:w="2376"/>
            <w:tcMar>
              <w:top w:w="90" w:type="dxa"/>
              <w:start w:w="100" w:type="dxa"/>
              <w:bottom w:w="90" w:type="dxa"/>
              <w:end w:w="100" w:type="dxa"/>
            </w:tcMar>
            <w:vAlign w:val="center"/>
          </w:tcPr>
          <w:p>
            <w:pPr>
              <w:jc w:val="left"/>
            </w:pPr>
            <w:r>
              <w:rPr>
                <w:sz w:val="18"/>
              </w:rPr>
              <w:t>Principal Data Scientist</w:t>
            </w:r>
          </w:p>
        </w:tc>
        <w:tc>
          <w:tcPr>
            <w:tcW w:type="dxa" w:w="3528"/>
            <w:tcMar>
              <w:top w:w="90" w:type="dxa"/>
              <w:start w:w="100" w:type="dxa"/>
              <w:bottom w:w="90" w:type="dxa"/>
              <w:end w:w="100" w:type="dxa"/>
            </w:tcMar>
            <w:vAlign w:val="center"/>
          </w:tcPr>
          <w:p>
            <w:pPr>
              <w:jc w:val="left"/>
            </w:pPr>
            <w:r>
              <w:rPr>
                <w:sz w:val="18"/>
              </w:rPr>
              <w:t>Defines enterprise data science strategy and influences executive decisions.</w:t>
            </w:r>
          </w:p>
        </w:tc>
        <w:tc>
          <w:tcPr>
            <w:tcW w:type="dxa" w:w="2880"/>
            <w:tcMar>
              <w:top w:w="90" w:type="dxa"/>
              <w:start w:w="100" w:type="dxa"/>
              <w:bottom w:w="90" w:type="dxa"/>
              <w:end w:w="100" w:type="dxa"/>
            </w:tcMar>
            <w:vAlign w:val="center"/>
          </w:tcPr>
          <w:p>
            <w:pPr>
              <w:jc w:val="left"/>
            </w:pPr>
            <w:r>
              <w:rPr>
                <w:sz w:val="18"/>
              </w:rPr>
              <w:t>Creates reusable methods and standards across multiple science teams.</w:t>
            </w:r>
          </w:p>
        </w:tc>
      </w:tr>
    </w:tbl>
    <w:p>
      <w:pPr>
        <w:pStyle w:val="SectionHeading"/>
      </w:pPr>
      <w:r>
        <w:t>Core dimensions used in level calibration</w:t>
      </w:r>
    </w:p>
    <w:p>
      <w:pPr>
        <w:pStyle w:val="Compact"/>
      </w:pPr>
      <w:r>
        <w:rPr>
          <w:b/>
        </w:rPr>
        <w:t xml:space="preserve">Scientific rigor: </w:t>
      </w:r>
      <w:r>
        <w:t>Uses sound methods, valid evaluation approaches, and reproducible workflows.</w:t>
      </w:r>
    </w:p>
    <w:p>
      <w:pPr>
        <w:pStyle w:val="Compact"/>
      </w:pPr>
      <w:r>
        <w:rPr>
          <w:b/>
        </w:rPr>
        <w:t xml:space="preserve">Business relevance: </w:t>
      </w:r>
      <w:r>
        <w:t>Connects models and experiments to real operating decisions and measurable impact.</w:t>
      </w:r>
    </w:p>
    <w:p>
      <w:pPr>
        <w:pStyle w:val="Compact"/>
      </w:pPr>
      <w:r>
        <w:rPr>
          <w:b/>
        </w:rPr>
        <w:t xml:space="preserve">Model lifecycle ownership: </w:t>
      </w:r>
      <w:r>
        <w:t>Considers data quality, feature stability, monitoring, retraining, and model risk.</w:t>
      </w:r>
    </w:p>
    <w:p>
      <w:pPr>
        <w:pStyle w:val="Compact"/>
      </w:pPr>
      <w:r>
        <w:rPr>
          <w:b/>
        </w:rPr>
        <w:t xml:space="preserve">Influence and education: </w:t>
      </w:r>
      <w:r>
        <w:t>Helps non-specialists understand model tradeoffs, assumptions, and limitations.</w:t>
      </w:r>
    </w:p>
    <w:p>
      <w:pPr>
        <w:pStyle w:val="TinyNote"/>
      </w:pPr>
      <w:r>
        <w:t>Calibration should consider the consistency, complexity, and business significance of outcomes, not isolated peak moments.</w:t>
      </w:r>
    </w:p>
    <w:p>
      <w:pPr>
        <w:pStyle w:val="SectionHeading"/>
      </w:pPr>
      <w:r>
        <w:t>Progression principles</w:t>
      </w:r>
    </w:p>
    <w:p>
      <w:pPr>
        <w:pStyle w:val="BulletBody"/>
      </w:pPr>
      <w:r>
        <w:t xml:space="preserve">• </w:t>
      </w:r>
      <w:r>
        <w:t>Progression requires more than stronger modeling skills; it requires better judgment about when to model, when to simplify, and when to stop.</w:t>
      </w:r>
    </w:p>
    <w:p>
      <w:pPr>
        <w:pStyle w:val="BulletBody"/>
      </w:pPr>
      <w:r>
        <w:t xml:space="preserve">• </w:t>
      </w:r>
      <w:r>
        <w:t>Employees advance as they design stronger experiments, improve deployment readiness, and help organizations use model outputs responsibly.</w:t>
      </w:r>
    </w:p>
    <w:p>
      <w:pPr>
        <w:pStyle w:val="BulletBody"/>
      </w:pPr>
      <w:r>
        <w:t xml:space="preserve">• </w:t>
      </w:r>
      <w:r>
        <w:t>Senior levels create reusable scientific practices and influence portfolio-level choices.</w:t>
      </w:r>
    </w:p>
    <w:p>
      <w:pPr>
        <w:pStyle w:val="BulletBody"/>
      </w:pPr>
      <w:r>
        <w:t xml:space="preserve">• </w:t>
      </w:r>
      <w:r>
        <w:t>Spanish fluency is generally expected for local collaboration. English proficiency is commonly needed for regional or global work, especially from experienced individual contributor and manager levels.</w:t>
      </w:r>
    </w:p>
    <w:p>
      <w:pPr>
        <w:pStyle w:val="BulletBody"/>
      </w:pPr>
      <w:r>
        <w:t xml:space="preserve">• </w:t>
      </w:r>
      <w:r>
        <w:t>Local title usage may include role variations by function, but promotion decisions should follow this architecture rather than title inflation or tenure alone.</w:t>
      </w:r>
    </w:p>
    <w:p>
      <w:pPr>
        <w:pStyle w:val="Compact"/>
      </w:pPr>
      <w:r>
        <w:rPr>
          <w:b/>
        </w:rPr>
        <w:t xml:space="preserve">Promotion timing. </w:t>
      </w:r>
      <w:r>
        <w:t>There is no minimum time-in-level guarantee. Employees are considered for advancement when their work shows sustained next-level performance, reliable judgment, and broad trust from partners over an appropriate review period.</w:t>
      </w:r>
    </w:p>
    <w:p>
      <w:pPr>
        <w:pStyle w:val="SectionHeading"/>
      </w:pPr>
      <w:r>
        <w:t>What strong performance looks like by level</w:t>
      </w:r>
    </w:p>
    <w:p>
      <w:pPr>
        <w:pStyle w:val="Compact"/>
      </w:pPr>
      <w:r>
        <w:rPr>
          <w:b/>
        </w:rPr>
        <w:t xml:space="preserve">DS1 — Data Scientist I. </w:t>
      </w:r>
      <w:r>
        <w:t>Shows careful method selection, clean notebooks or workflows, and disciplined experiment write-ups.</w:t>
      </w:r>
    </w:p>
    <w:p>
      <w:pPr>
        <w:pStyle w:val="Compact"/>
      </w:pPr>
      <w:r>
        <w:rPr>
          <w:b/>
        </w:rPr>
        <w:t xml:space="preserve">DS2 — Data Scientist II. </w:t>
      </w:r>
      <w:r>
        <w:t>Connects scientific work to business decisions and independently manages scoped model or experimentation work.</w:t>
      </w:r>
    </w:p>
    <w:p>
      <w:pPr>
        <w:pStyle w:val="Compact"/>
      </w:pPr>
      <w:r>
        <w:rPr>
          <w:b/>
        </w:rPr>
        <w:t xml:space="preserve">DS3 — Senior Data Scientist. </w:t>
      </w:r>
      <w:r>
        <w:t>Leads ambiguous science problems, production readiness discussions, and model performance tradeoffs.</w:t>
      </w:r>
    </w:p>
    <w:p>
      <w:pPr>
        <w:pStyle w:val="Compact"/>
      </w:pPr>
      <w:r>
        <w:rPr>
          <w:b/>
        </w:rPr>
        <w:t xml:space="preserve">DS4 — Lead Data Scientist. </w:t>
      </w:r>
      <w:r>
        <w:t>Sets domain direction, improves governance, and raises the science bar across teams.</w:t>
      </w:r>
    </w:p>
    <w:p>
      <w:pPr>
        <w:pStyle w:val="Compact"/>
      </w:pPr>
      <w:r>
        <w:rPr>
          <w:b/>
        </w:rPr>
        <w:t xml:space="preserve">DS5 — Principal Data Scientist. </w:t>
      </w:r>
      <w:r>
        <w:t>Creates strategic influence through reusable approaches, senior decision support, and enterprise standards.</w:t>
      </w:r>
    </w:p>
    <w:p>
      <w:pPr>
        <w:pStyle w:val="SectionHeading"/>
      </w:pPr>
      <w:r>
        <w:t>Illustrative examples in this country context</w:t>
      </w:r>
    </w:p>
    <w:p>
      <w:pPr>
        <w:pStyle w:val="BulletBody"/>
      </w:pPr>
      <w:r>
        <w:t xml:space="preserve">• </w:t>
      </w:r>
      <w:r>
        <w:t>A Senior Data Scientist may partner with product and commercial teams to improve conversion modeling and explain why model accuracy and operational adoption must be balanced.</w:t>
      </w:r>
    </w:p>
    <w:p>
      <w:pPr>
        <w:pStyle w:val="BulletBody"/>
      </w:pPr>
      <w:r>
        <w:t xml:space="preserve">• </w:t>
      </w:r>
      <w:r>
        <w:t>A Software Engineer I may contribute to feature delivery for a global product while learning incident response practices and peer review standards.</w:t>
      </w:r>
    </w:p>
    <w:p>
      <w:pPr>
        <w:pStyle w:val="BulletBody"/>
      </w:pPr>
      <w:r>
        <w:t xml:space="preserve">• </w:t>
      </w:r>
      <w:r>
        <w:t>An Engineering Manager II may coordinate staffing, delivery health, and career conversations for a cross-border engineering group.</w:t>
      </w:r>
    </w:p>
    <w:p>
      <w:pPr>
        <w:pStyle w:val="TinyNote"/>
      </w:pPr>
      <w:r>
        <w:t>Examples illustrate the type of work that may support calibration. They are not exhaustive and do not override the formal level definitions.</w:t>
      </w:r>
    </w:p>
    <w:p>
      <w:pPr>
        <w:pStyle w:val="SectionHeading"/>
      </w:pPr>
      <w:r>
        <w:t>Evidence considered in promotion and internal mobility</w:t>
      </w:r>
    </w:p>
    <w:p>
      <w:pPr>
        <w:pStyle w:val="Compact"/>
      </w:pPr>
      <w:r>
        <w:rPr>
          <w:b/>
        </w:rPr>
        <w:t xml:space="preserve">Evidence. </w:t>
      </w:r>
      <w:r>
        <w:t>Reviewers should look for repeatable outcomes, not isolated achievements. Useful evidence includes:</w:t>
      </w:r>
    </w:p>
    <w:p>
      <w:pPr>
        <w:pStyle w:val="BulletBody"/>
      </w:pPr>
      <w:r>
        <w:t xml:space="preserve">• </w:t>
      </w:r>
      <w:r>
        <w:t>Experiment plans, evaluation summaries, or model review artifacts</w:t>
      </w:r>
    </w:p>
    <w:p>
      <w:pPr>
        <w:pStyle w:val="BulletBody"/>
      </w:pPr>
      <w:r>
        <w:t xml:space="preserve">• </w:t>
      </w:r>
      <w:r>
        <w:t>Operational metrics that improved through model or experiment adoption</w:t>
      </w:r>
    </w:p>
    <w:p>
      <w:pPr>
        <w:pStyle w:val="BulletBody"/>
      </w:pPr>
      <w:r>
        <w:t xml:space="preserve">• </w:t>
      </w:r>
      <w:r>
        <w:t>Examples of balancing accuracy, interpretability, latency, or cost</w:t>
      </w:r>
    </w:p>
    <w:p>
      <w:pPr>
        <w:pStyle w:val="BulletBody"/>
      </w:pPr>
      <w:r>
        <w:t xml:space="preserve">• </w:t>
      </w:r>
      <w:r>
        <w:t>Peer coaching, review quality, and method standardization contributions</w:t>
      </w:r>
    </w:p>
    <w:p>
      <w:pPr>
        <w:pStyle w:val="Compact"/>
      </w:pPr>
      <w:r>
        <w:rPr>
          <w:b/>
        </w:rPr>
        <w:t xml:space="preserve">Internal mobility. </w:t>
      </w:r>
      <w:r>
        <w:t>Data Scientists may move between forecasting, recommendation, optimization, experimentation, or applied ML tracks when they demonstrate sufficient domain grounding and responsible model ownership.</w:t>
      </w:r>
    </w:p>
    <w:p>
      <w:pPr>
        <w:pStyle w:val="Compact"/>
      </w:pPr>
      <w:r>
        <w:rPr>
          <w:b/>
        </w:rPr>
        <w:t xml:space="preserve">Development planning. </w:t>
      </w:r>
      <w:r>
        <w:t>Employees and managers should use this architecture to identify the next two or three growth areas that would most clearly increase readiness for broader scope. Development plans should focus on applied opportunities, not only training completion.</w:t>
      </w:r>
    </w:p>
    <w:p>
      <w:pPr>
        <w:pStyle w:val="SectionHeading"/>
      </w:pPr>
      <w:r>
        <w:t>Guidance for managers and calibration partners</w:t>
      </w:r>
    </w:p>
    <w:p>
      <w:pPr>
        <w:pStyle w:val="BulletBody"/>
      </w:pPr>
      <w:r>
        <w:t xml:space="preserve">• </w:t>
      </w:r>
      <w:r>
        <w:t>Do not use title inflation, urgent business need, or retention pressure as substitutes for evidence of the next level.</w:t>
      </w:r>
    </w:p>
    <w:p>
      <w:pPr>
        <w:pStyle w:val="BulletBody"/>
      </w:pPr>
      <w:r>
        <w:t xml:space="preserve">• </w:t>
      </w:r>
      <w:r>
        <w:t>When assessing readiness, compare the employee to the written expectations of the next level, not only to immediate peers.</w:t>
      </w:r>
    </w:p>
    <w:p>
      <w:pPr>
        <w:pStyle w:val="BulletBody"/>
      </w:pPr>
      <w:r>
        <w:t xml:space="preserve">• </w:t>
      </w:r>
      <w:r>
        <w:t>Look for consistency over more than one review point, especially for roles where judgment and influence are central.</w:t>
      </w:r>
    </w:p>
    <w:p>
      <w:pPr>
        <w:pStyle w:val="BulletBody"/>
      </w:pPr>
      <w:r>
        <w:t xml:space="preserve">• </w:t>
      </w:r>
      <w:r>
        <w:t>Use this architecture together with local role design, team context, and available scope; career growth should not depend on one narrow project type.</w:t>
      </w:r>
    </w:p>
    <w:p>
      <w:pPr>
        <w:pStyle w:val="BulletBody"/>
      </w:pPr>
      <w:r>
        <w:t xml:space="preserve">• </w:t>
      </w:r>
      <w:r>
        <w:t>Where a role is changing significantly, adjust expectations transparently and document what new success looks like before using it in promotion decisions.</w:t>
      </w:r>
    </w:p>
    <w:p>
      <w:pPr>
        <w:pStyle w:val="Compact"/>
      </w:pPr>
      <w:r>
        <w:rPr>
          <w:b/>
        </w:rPr>
        <w:t xml:space="preserve">Escalation. </w:t>
      </w:r>
      <w:r>
        <w:t>Questions about level placement, unusual title mapping, or cross-country comparability should be routed to talentdevelopment@company.com with supporting examples and recent review context.</w:t>
      </w:r>
    </w:p>
    <w:sectPr w:rsidR="00FC693F" w:rsidRPr="0006063C" w:rsidSect="00034616">
      <w:headerReference w:type="default" r:id="rId9"/>
      <w:footerReference w:type="default" r:id="rId10"/>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E6E6E"/>
        <w:sz w:val="17"/>
      </w:rPr>
      <w:t xml:space="preserve">Talent Development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inyNote"/>
    </w:pPr>
    <w:r/>
    <w:r>
      <w:rPr>
        <w:b/>
        <w:color w:val="243F74"/>
      </w:rPr>
      <w:t>Argentina Career Architecture | Career Architecture - Data Scientist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spacing w:after="20"/>
    </w:pPr>
    <w:rPr>
      <w:rFonts w:ascii="Aptos Display" w:hAnsi="Aptos Display"/>
      <w:b/>
      <w:color w:val="243F74"/>
      <w:sz w:val="36"/>
    </w:rPr>
  </w:style>
  <w:style w:type="paragraph" w:customStyle="1" w:styleId="DocSubtitle">
    <w:name w:val="Doc Subtitle"/>
    <w:basedOn w:val="Normal"/>
    <w:pPr>
      <w:spacing w:after="120"/>
    </w:pPr>
    <w:rPr>
      <w:color w:val="5E5E5E"/>
      <w:sz w:val="19"/>
    </w:rPr>
  </w:style>
  <w:style w:type="paragraph" w:customStyle="1" w:styleId="SectionHeading">
    <w:name w:val="Section Heading"/>
    <w:basedOn w:val="Heading2"/>
    <w:pPr>
      <w:keepNext/>
      <w:spacing w:before="200" w:after="40"/>
    </w:pPr>
    <w:rPr>
      <w:rFonts w:ascii="Aptos" w:hAnsi="Aptos"/>
      <w:b/>
      <w:color w:val="243F74"/>
      <w:sz w:val="24"/>
    </w:rPr>
  </w:style>
  <w:style w:type="paragraph" w:customStyle="1" w:styleId="TinyNote">
    <w:name w:val="Tiny Note"/>
    <w:basedOn w:val="Normal"/>
    <w:pPr>
      <w:spacing w:after="40"/>
    </w:pPr>
    <w:rPr>
      <w:color w:val="6E6E6E"/>
      <w:sz w:val="17"/>
    </w:rPr>
  </w:style>
  <w:style w:type="paragraph" w:customStyle="1" w:styleId="BulletBody">
    <w:name w:val="Bullet Body"/>
    <w:basedOn w:val="Normal"/>
    <w:pPr>
      <w:spacing w:after="20"/>
      <w:ind w:left="317" w:hanging="230"/>
    </w:pPr>
  </w:style>
  <w:style w:type="paragraph" w:customStyle="1" w:styleId="Compact">
    <w:name w:val="Compact"/>
    <w:basedOn w:val="Normal"/>
    <w:pPr>
      <w:spacing w:after="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