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Professional Communication Standards</w:t>
      </w:r>
    </w:p>
    <w:p>
      <w:pPr>
        <w:spacing w:after="120" w:line="269" w:lineRule="auto"/>
      </w:pPr>
      <w:r>
        <w:t>BR-HR-002  |  Category: Employee Relations  |  Country: Brazil  |  Version 3.0</w:t>
      </w:r>
    </w:p>
    <w:p>
      <w:pPr>
        <w:spacing w:after="120" w:line="269" w:lineRule="auto"/>
      </w:pPr>
      <w:r>
        <w:t>Policy owner: peopleteam@company.com  |  Related documents: BR-HR-001, BR-HR-003, BR-HR-039, BR-HR-049</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document describes the standards employees, managers, and interviewers are expected to follow in relation to professional communication.</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Professional communication includes email, chat, case-management notes, meeting conduct, presentation style, and the way approvals or rejections are explained. Communication should be accurate, timely, and proportionate to the issue being handled.</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Standards for Written and Verbal Communication</w:t>
      </w:r>
    </w:p>
    <w:p>
      <w:pPr>
        <w:spacing w:after="120" w:line="269" w:lineRule="auto"/>
      </w:pPr>
      <w:r>
        <w:t>Employees should use complete context when asking for help: the issue, the date, the system involved, and the impact. This reduces avoidable back-and-forth and improves routing. Messages should not include unnecessary personal information, gossip, or screenshots that expose unrelated employee data.</w:t>
      </w:r>
    </w:p>
    <w:p>
      <w:pPr>
        <w:spacing w:after="120" w:line="269" w:lineRule="auto"/>
      </w:pPr>
      <w:r>
        <w:t>Managers and HR staff should avoid shorthand that can be misunderstood. For example, a rejection should name the policy reason and next step rather than saying only "not approved." Payroll, leave, and accommodation decisions should use plain language and should not rely on acronyms that an employee would not understand.</w:t>
      </w:r>
    </w:p>
    <w:p>
      <w:pPr>
        <w:spacing w:after="120" w:line="269" w:lineRule="auto"/>
      </w:pPr>
      <w:r>
        <w:t>Urgency labels should be used carefully. A message is urgent when there is immediate employee harm, security risk, a legal deadline, or a same-day payroll failure. General inconvenience, manager preference, or delayed planning do not by themselves make a case urgent.</w:t>
      </w:r>
    </w:p>
    <w:p>
      <w:pPr>
        <w:pStyle w:val="Heading1"/>
        <w:spacing w:before="180" w:after="60"/>
      </w:pPr>
      <w:r>
        <w:t>Digital Etiquette</w:t>
      </w:r>
    </w:p>
    <w:p>
      <w:pPr>
        <w:spacing w:after="120" w:line="269" w:lineRule="auto"/>
      </w:pPr>
      <w:r>
        <w:t>Chat tools should be used for quick coordination, not for documenting final decisions on sensitive issues. If a decision affects pay, leave, discipline, accommodations, or access, the final answer must also be recorded in the case system or confirmed by email.</w:t>
      </w:r>
    </w:p>
    <w:p>
      <w:pPr>
        <w:spacing w:after="120" w:line="269" w:lineRule="auto"/>
      </w:pPr>
      <w:r>
        <w:t>Employees working across time zones should respect the shared collaboration window of 10:00 to 16:00 local time. Outside that window, messages may be sent, but immediate replies should not be expected unless the matter is genuinely urgent or the sender has confirmed coverage.</w:t>
      </w:r>
    </w:p>
    <w:p>
      <w:pPr>
        <w:pStyle w:val="Heading1"/>
        <w:spacing w:before="180" w:after="60"/>
      </w:pPr>
      <w:r>
        <w:t>Examples</w:t>
      </w:r>
    </w:p>
    <w:p>
      <w:pPr>
        <w:spacing w:after="120" w:line="269" w:lineRule="auto"/>
      </w:pPr>
      <w:r>
        <w:t>Good example: "I am requesting correction of my February payslip because the overtime approved on 24 February is missing. I have attached the manager approval and time entry." Poor example: "Payroll messed up again. Please fix immediately."</w:t>
      </w:r>
    </w:p>
    <w:p>
      <w:pPr>
        <w:spacing w:after="120" w:line="269" w:lineRule="auto"/>
      </w:pPr>
      <w:r>
        <w:t>Good manager example: "Your annual-vacation request for 28 March is declined because the team already has two approved absences and the policy allows managers to limit overlaps for business continuity. Please review alternative dates with me by Thursday."</w:t>
      </w:r>
    </w:p>
    <w:p>
      <w:pPr>
        <w:pStyle w:val="Heading1"/>
        <w:spacing w:before="180" w:after="60"/>
      </w:pPr>
      <w:r>
        <w:t>Governance</w:t>
      </w:r>
    </w:p>
    <w:p>
      <w:pPr>
        <w:spacing w:after="120" w:line="269" w:lineRule="auto"/>
      </w:pPr>
      <w:r>
        <w:t>This document should be read together with BR-HR-001, BR-HR-003, BR-HR-039, BR-HR-049.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