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Conflict of Interest Disclosure Policy</w:t>
      </w:r>
    </w:p>
    <w:p>
      <w:pPr>
        <w:spacing w:after="120" w:line="269" w:lineRule="auto"/>
      </w:pPr>
      <w:r>
        <w:t>BR-HR-006  |  Category: Compliance  |  Country: Brazil  |  Version 3.0</w:t>
      </w:r>
    </w:p>
    <w:p>
      <w:pPr>
        <w:spacing w:after="120" w:line="269" w:lineRule="auto"/>
      </w:pPr>
      <w:r>
        <w:t>Policy owner: compliance@company.com  |  Related documents: BR-HR-007, BR-HR-028, BR-HR-050</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conflict of interest disclosure.</w:t>
      </w:r>
    </w:p>
    <w:p>
      <w:pPr>
        <w:spacing w:after="120" w:line="269" w:lineRule="auto"/>
      </w:pPr>
      <w:r>
        <w:t>Questions about this document should be sent to compliance@company.com.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Employees must disclose actual or apparent conflicts of interest that could impair objective business judgment. Disclosure allows the company to manage the risk before a procurement decision, compensation decision, hiring decision, or vendor relationship is compromised.</w:t>
      </w:r>
    </w:p>
    <w:p>
      <w:pPr>
        <w:pStyle w:val="Heading2"/>
        <w:spacing w:before="140" w:after="40"/>
      </w:pPr>
      <w:r>
        <w:t>Quick Reference</w:t>
      </w:r>
    </w:p>
    <w:p>
      <w:pPr>
        <w:pStyle w:val="ListBullet"/>
        <w:spacing w:after="60"/>
      </w:pPr>
      <w:r>
        <w:t>Questions: compliance@company.com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Common Conflict Scenarios</w:t>
      </w:r>
    </w:p>
    <w:p>
      <w:pPr>
        <w:spacing w:after="120" w:line="269" w:lineRule="auto"/>
      </w:pPr>
      <w:r>
        <w:t>Common examples include supervising or influencing the pay of a close relative, selecting a vendor owned by a family member, accepting gifts that could influence a procurement decision, outside employment that competes with the company, or using confidential information for personal gain.</w:t>
      </w:r>
    </w:p>
    <w:p>
      <w:pPr>
        <w:spacing w:after="120" w:line="269" w:lineRule="auto"/>
      </w:pPr>
      <w:r>
        <w:t>A conflict may still require disclosure even if the employee believes they can stay fair. The test is whether a reasonable observer would question the employee's independence or whether the situation could create undue influence over a business decision.</w:t>
      </w:r>
    </w:p>
    <w:p>
      <w:pPr>
        <w:pStyle w:val="Heading1"/>
        <w:spacing w:before="180" w:after="60"/>
      </w:pPr>
      <w:r>
        <w:t>Disclosure Timing</w:t>
      </w:r>
    </w:p>
    <w:p>
      <w:pPr>
        <w:spacing w:after="120" w:line="269" w:lineRule="auto"/>
      </w:pPr>
      <w:r>
        <w:t>Disclosures must be made before the employee participates in the decision. If the conflict becomes known later, the employee must disclose it immediately and step back from further involvement until compliance reviews the case.</w:t>
      </w:r>
    </w:p>
    <w:p>
      <w:pPr>
        <w:spacing w:after="120" w:line="269" w:lineRule="auto"/>
      </w:pPr>
      <w:r>
        <w:t>Managers should not decide conflict matters informally. Procurement, compensation, and hiring cases must be escalated so that the review and any mitigation plan are documented.</w:t>
      </w:r>
    </w:p>
    <w:p>
      <w:pPr>
        <w:pStyle w:val="Heading1"/>
        <w:spacing w:before="180" w:after="60"/>
      </w:pPr>
      <w:r>
        <w:t>Examples</w:t>
      </w:r>
    </w:p>
    <w:p>
      <w:pPr>
        <w:spacing w:after="120" w:line="269" w:lineRule="auto"/>
      </w:pPr>
      <w:r>
        <w:t>Example: A manager wants to hire a former business partner into their own team. The manager must disclose the relationship and remove themselves from the interview and offer approval chain.</w:t>
      </w:r>
    </w:p>
    <w:p>
      <w:pPr>
        <w:spacing w:after="120" w:line="269" w:lineRule="auto"/>
      </w:pPr>
      <w:r>
        <w:t>Example: An employee on the travel committee is offered free event tickets by a preferred hotel chain. Even if the value seems modest, the offer should be declined or disclosed before any related decision is made.</w:t>
      </w:r>
    </w:p>
    <w:p>
      <w:pPr>
        <w:pStyle w:val="Heading1"/>
        <w:spacing w:before="180" w:after="60"/>
      </w:pPr>
      <w:r>
        <w:t>Governance</w:t>
      </w:r>
    </w:p>
    <w:p>
      <w:pPr>
        <w:spacing w:after="120" w:line="269" w:lineRule="auto"/>
      </w:pPr>
      <w:r>
        <w:t>This document should be read together with BR-HR-007, BR-HR-028, BR-HR-050.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compliance@company.com.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