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Diversity, Equity, and Inclusion Principles</w:t>
      </w:r>
    </w:p>
    <w:p>
      <w:pPr>
        <w:spacing w:after="120" w:line="269" w:lineRule="auto"/>
      </w:pPr>
      <w:r>
        <w:t>BR-HR-009  |  Category: Employee Relations  |  Country: Brazil  |  Version 3.0</w:t>
      </w:r>
    </w:p>
    <w:p>
      <w:pPr>
        <w:spacing w:after="120" w:line="269" w:lineRule="auto"/>
      </w:pPr>
      <w:r>
        <w:t>Policy owner: peopleteam@company.com  |  Related documents: BR-HR-001, BR-HR-008, BR-HR-029, BR-HR-045</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document describes the principles and expected behaviors that guide the company's approach to diversity, equity, and inclusion.</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The company aims to build inclusive teams by widening talent pools, removing unnecessary barriers, and reviewing people processes for unfair patterns. DEI work is treated as an operational quality issue, not a side program.</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Practical Commitments</w:t>
      </w:r>
    </w:p>
    <w:p>
      <w:pPr>
        <w:spacing w:after="120" w:line="269" w:lineRule="auto"/>
      </w:pPr>
      <w:r>
        <w:t>Hiring panels should be trained on structured interviewing, managers should review development access for fairness, and leaders should look for patterns in attrition, performance ratings, and promotion timing.</w:t>
      </w:r>
    </w:p>
    <w:p>
      <w:pPr>
        <w:spacing w:after="120" w:line="269" w:lineRule="auto"/>
      </w:pPr>
      <w:r>
        <w:t>Employee resource groups may provide community and feedback, but they do not replace formal people processes or compliance channels.</w:t>
      </w:r>
    </w:p>
    <w:p>
      <w:pPr>
        <w:pStyle w:val="Heading1"/>
        <w:spacing w:before="180" w:after="60"/>
      </w:pPr>
      <w:r>
        <w:t>Examples</w:t>
      </w:r>
    </w:p>
    <w:p>
      <w:pPr>
        <w:spacing w:after="120" w:line="269" w:lineRule="auto"/>
      </w:pPr>
      <w:r>
        <w:t>If a team repeatedly hires from a narrow source and gets highly similar profiles, talent acquisition should review sourcing strategy and job design.</w:t>
      </w:r>
    </w:p>
    <w:p>
      <w:pPr>
        <w:spacing w:after="120" w:line="269" w:lineRule="auto"/>
      </w:pPr>
      <w:r>
        <w:t>If onboarding materials assume everyone works on site or uses one language fluently, the team should revise the materials so access is equitable.</w:t>
      </w:r>
    </w:p>
    <w:p>
      <w:pPr>
        <w:pStyle w:val="Heading1"/>
        <w:spacing w:before="180" w:after="60"/>
      </w:pPr>
      <w:r>
        <w:t>Governance</w:t>
      </w:r>
    </w:p>
    <w:p>
      <w:pPr>
        <w:spacing w:after="120" w:line="269" w:lineRule="auto"/>
      </w:pPr>
      <w:r>
        <w:t>This document should be read together with BR-HR-001, BR-HR-008, BR-HR-029, BR-HR-045.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