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Benefits Eligibility Overview</w:t>
      </w:r>
    </w:p>
    <w:p>
      <w:pPr>
        <w:spacing w:after="120" w:line="269" w:lineRule="auto"/>
      </w:pPr>
      <w:r>
        <w:t>BR-HR-011  |  Category: Benefits  |  Country: Brazil  |  Version 3.0</w:t>
      </w:r>
    </w:p>
    <w:p>
      <w:pPr>
        <w:spacing w:after="120" w:line="269" w:lineRule="auto"/>
      </w:pPr>
      <w:r>
        <w:t>Policy owner: benefits@company.com  |  Related documents: BR-HR-012, BR-HR-013, BR-HR-014, BR-HR-015</w:t>
      </w:r>
    </w:p>
    <w:p>
      <w:pPr>
        <w:pStyle w:val="Heading1"/>
        <w:spacing w:before="180" w:after="60"/>
      </w:pPr>
      <w:r>
        <w:t>Policy Summary</w:t>
      </w:r>
    </w:p>
    <w:p>
      <w:pPr>
        <w:spacing w:after="120" w:line="269" w:lineRule="auto"/>
      </w:pPr>
      <w:r>
        <w:t>This document explains the company's approach to benefits eligibility overview.</w:t>
      </w:r>
    </w:p>
    <w:p>
      <w:pPr>
        <w:spacing w:after="120" w:line="269" w:lineRule="auto"/>
      </w:pPr>
      <w:r>
        <w:t>Questions about this document should be sent to benefits@company.com. When a matter spans more than one process, the receiving team may coordinate with the relevant function named in the related documents.</w:t>
      </w:r>
    </w:p>
    <w:p>
      <w:pPr>
        <w:spacing w:after="120" w:line="269" w:lineRule="auto"/>
      </w:pPr>
      <w:r>
        <w:t>This Brazil edition applies to employees hired on the Brazil payroll. Brazilian labor law, collective agreements where applicable, and written contract terms control where they provide greater protection or require a different process.</w:t>
      </w:r>
    </w:p>
    <w:p>
      <w:pPr>
        <w:spacing w:after="120" w:line="269" w:lineRule="auto"/>
      </w:pPr>
      <w:r>
        <w:t>Employees on the Brazil payroll are generally eligible for local company benefits from date of hire or from the effective date stated in the local plan materials. Contractors receive benefits through their employing entity unless an approved local arrangement says otherwise.</w:t>
      </w:r>
    </w:p>
    <w:p>
      <w:pPr>
        <w:pStyle w:val="Heading2"/>
        <w:spacing w:before="140" w:after="40"/>
      </w:pPr>
      <w:r>
        <w:t>Quick Reference</w:t>
      </w:r>
    </w:p>
    <w:p>
      <w:pPr>
        <w:pStyle w:val="ListBullet"/>
        <w:spacing w:after="60"/>
      </w:pPr>
      <w:r>
        <w:t>Questions: benefits@company.com</w:t>
      </w:r>
    </w:p>
    <w:p>
      <w:pPr>
        <w:pStyle w:val="ListBullet"/>
        <w:spacing w:after="60"/>
      </w:pPr>
      <w:r>
        <w:t>Eligibility: employees on Brazil payroll</w:t>
      </w:r>
    </w:p>
    <w:p>
      <w:pPr>
        <w:pStyle w:val="ListBullet"/>
        <w:spacing w:after="60"/>
      </w:pPr>
      <w:r>
        <w:t>Life-event change window: 30 calendar days</w:t>
      </w:r>
    </w:p>
    <w:p>
      <w:pPr>
        <w:pStyle w:val="Heading1"/>
        <w:spacing w:before="180" w:after="60"/>
      </w:pPr>
      <w:r>
        <w:t>Covered Programs</w:t>
      </w:r>
    </w:p>
    <w:p>
      <w:pPr>
        <w:spacing w:after="120" w:line="269" w:lineRule="auto"/>
      </w:pPr>
      <w:r>
        <w:t>The Brazil package may include health and dental coverage, life insurance, employee assistance support, transport voucher and meal or food voucher programs where applicable, statutory FGTS and INSS administration, and other locally approved wellness benefits.</w:t>
      </w:r>
    </w:p>
    <w:p>
      <w:pPr>
        <w:spacing w:after="120" w:line="269" w:lineRule="auto"/>
      </w:pPr>
      <w:r>
        <w:t>Dependent eligibility follows the local insurer rules and the documents requested by the plan administrator. Employees should review the annual benefits guide for deadlines and contribution-sharing requirements.</w:t>
      </w:r>
    </w:p>
    <w:p>
      <w:pPr>
        <w:pStyle w:val="Heading1"/>
        <w:spacing w:before="180" w:after="60"/>
      </w:pPr>
      <w:r>
        <w:t>Operational Rules</w:t>
      </w:r>
    </w:p>
    <w:p>
      <w:pPr>
        <w:spacing w:after="120" w:line="269" w:lineRule="auto"/>
      </w:pPr>
      <w:r>
        <w:t>New hires should complete enrollment, payroll, and eSocial-related setup steps promptly so deductions and benefits become active without delay. When a local provider requires extra enrollment steps, benefits@company.com should be copied on the case.</w:t>
      </w:r>
    </w:p>
    <w:p>
      <w:pPr>
        <w:spacing w:after="120" w:line="269" w:lineRule="auto"/>
      </w:pPr>
      <w:r>
        <w:t>Questions about cards, provider networks, reimbursement, or transport/meal voucher timing should go first to the local administrator where available; questions about eligibility and payroll deductions should go to benefits@company.com.</w:t>
      </w:r>
    </w:p>
    <w:p>
      <w:pPr>
        <w:pStyle w:val="Heading1"/>
        <w:spacing w:before="180" w:after="60"/>
      </w:pPr>
      <w:r>
        <w:t>Examples</w:t>
      </w:r>
    </w:p>
    <w:p>
      <w:pPr>
        <w:spacing w:after="120" w:line="269" w:lineRule="auto"/>
      </w:pPr>
      <w:r>
        <w:t>A CLT employee joining in April should complete benefit enrollment during onboarding so the health-plan start date and voucher setup can be tracked without delay.</w:t>
      </w:r>
    </w:p>
    <w:p>
      <w:pPr>
        <w:spacing w:after="120" w:line="269" w:lineRule="auto"/>
      </w:pPr>
      <w:r>
        <w:t>An employee who adds a dependent after marriage or birth should notify benefits@company.com within 30 days and provide the documents required by the local administrator.</w:t>
      </w:r>
    </w:p>
    <w:p>
      <w:pPr>
        <w:pStyle w:val="Heading1"/>
        <w:spacing w:before="180" w:after="60"/>
      </w:pPr>
      <w:r>
        <w:t>Governance</w:t>
      </w:r>
    </w:p>
    <w:p>
      <w:pPr>
        <w:spacing w:after="120" w:line="269" w:lineRule="auto"/>
      </w:pPr>
      <w:r>
        <w:t>This document should be read together with BR-HR-012, BR-HR-013, BR-HR-014, BR-HR-015.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benefits@company.com.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Brazilian labor law, a collective agreement, or a written contract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