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Medical, Dental, and Vision Benefits Guide</w:t>
      </w:r>
    </w:p>
    <w:p>
      <w:pPr>
        <w:spacing w:after="120" w:line="269" w:lineRule="auto"/>
      </w:pPr>
      <w:r>
        <w:t>BR-HR-013  |  Category: Benefits  |  Country: Brazil  |  Version 3.0</w:t>
      </w:r>
    </w:p>
    <w:p>
      <w:pPr>
        <w:spacing w:after="120" w:line="269" w:lineRule="auto"/>
      </w:pPr>
      <w:r>
        <w:t>Policy owner: benefits@company.com  |  Related documents: BR-HR-011, BR-HR-012, BR-HR-017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guide summarizes the main rules, eligibility criteria, timelines, and examples related to medical, dental, and vision benefits.</w:t>
      </w:r>
    </w:p>
    <w:p>
      <w:pPr>
        <w:spacing w:after="120" w:line="269" w:lineRule="auto"/>
      </w:pPr>
      <w:r>
        <w:t>Questions about this document should be sent to benefits@company.com.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This guide explains the main categories of health-related coverage used in Brazil. Exact co-participation rules, provider access, dental coverage, and reimbursement features depend on the local plan summary and insurer materials.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benefits@company.com</w:t>
      </w:r>
    </w:p>
    <w:p>
      <w:pPr>
        <w:pStyle w:val="ListBullet"/>
        <w:spacing w:after="60"/>
      </w:pPr>
      <w:r>
        <w:t>Eligibility: employees on Brazil payroll</w:t>
      </w:r>
    </w:p>
    <w:p>
      <w:pPr>
        <w:pStyle w:val="ListBullet"/>
        <w:spacing w:after="60"/>
      </w:pPr>
      <w:r>
        <w:t>Life-event change window: 30 calendar days</w:t>
      </w:r>
    </w:p>
    <w:p>
      <w:pPr>
        <w:pStyle w:val="Heading1"/>
        <w:spacing w:before="180" w:after="60"/>
      </w:pPr>
      <w:r>
        <w:t>Coverage Overview</w:t>
      </w:r>
    </w:p>
    <w:p>
      <w:pPr>
        <w:spacing w:after="120" w:line="269" w:lineRule="auto"/>
      </w:pPr>
      <w:r>
        <w:t>Employees should follow the local administrator instructions for provider lookup, authorization, and reimbursement. Depending on plan design, certain outpatient or dental services may require co-participation or pre-authorization.</w:t>
      </w:r>
    </w:p>
    <w:p>
      <w:pPr>
        <w:spacing w:after="120" w:line="269" w:lineRule="auto"/>
      </w:pPr>
      <w:r>
        <w:t>Benefits can help employees understand the process and who to contact, but coverage decisions are made by the insurer or administrator according to the local plan terms and law.</w:t>
      </w:r>
    </w:p>
    <w:p>
      <w:pPr>
        <w:pStyle w:val="Heading1"/>
        <w:spacing w:before="180" w:after="60"/>
      </w:pPr>
      <w:r>
        <w:t>Examples</w:t>
      </w:r>
    </w:p>
    <w:p>
      <w:pPr>
        <w:spacing w:after="120" w:line="269" w:lineRule="auto"/>
      </w:pPr>
      <w:r>
        <w:t>If an employee changes legal name or dependent status, they should update the HRIS, payroll records, and the local plan portal so provider and claims records stay aligned.</w:t>
      </w:r>
    </w:p>
    <w:p>
      <w:pPr>
        <w:spacing w:after="120" w:line="269" w:lineRule="auto"/>
      </w:pPr>
      <w:r>
        <w:t>If a planned treatment requires authorization, the employee should start the request early and keep benefits informed if the provider needs employer confirmation.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BR-HR-011, BR-HR-012, BR-HR-017.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benefits@company.com.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